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right"/>
        <w:spacing w:before="0" w:after="0" w:line="240" w:lineRule="auto"/>
        <w:rPr>
          <w:rFonts w:ascii="Tinos" w:hAnsi="Tinos" w:cs="Tinos"/>
          <w:b/>
          <w:bCs/>
          <w:highlight w:val="none"/>
        </w:rPr>
      </w:pPr>
      <w:r>
        <w:rPr>
          <w:rFonts w:ascii="Tinos" w:hAnsi="Tinos" w:eastAsia="Tinos" w:cs="Tinos"/>
          <w:b/>
          <w:bCs/>
          <w:sz w:val="22"/>
          <w:szCs w:val="22"/>
          <w:highlight w:val="none"/>
        </w:rPr>
        <w:t xml:space="preserve">П</w:t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  <w:t xml:space="preserve">риложение №2 к запросу</w:t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highlight w:val="none"/>
        </w:rPr>
      </w:r>
    </w:p>
    <w:p>
      <w:pPr>
        <w:ind w:left="0" w:right="0" w:firstLine="0"/>
        <w:jc w:val="left"/>
        <w:spacing w:before="0" w:after="0" w:line="240" w:lineRule="auto"/>
        <w:rPr>
          <w:rFonts w:ascii="Tinos" w:hAnsi="Tinos" w:cs="Tinos"/>
          <w:b/>
          <w:bCs/>
          <w:highlight w:val="none"/>
        </w:rPr>
      </w:pPr>
      <w:r>
        <w:rPr>
          <w:rFonts w:ascii="Tinos" w:hAnsi="Tinos" w:eastAsia="Tinos" w:cs="Tinos"/>
          <w:b/>
          <w:bCs/>
          <w:sz w:val="22"/>
          <w:szCs w:val="22"/>
          <w:highlight w:val="yellow"/>
        </w:rPr>
        <w:t xml:space="preserve">ПРОЕКТ по 44-ФЗ</w:t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highlight w:val="none"/>
        </w:rPr>
      </w:r>
    </w:p>
    <w:p>
      <w:pPr>
        <w:jc w:val="left"/>
        <w:rPr>
          <w:rFonts w:ascii="Tinos" w:hAnsi="Tinos" w:cs="Tinos"/>
          <w:b/>
          <w:bCs/>
          <w:sz w:val="22"/>
          <w:szCs w:val="22"/>
          <w:highlight w:val="none"/>
        </w:rPr>
      </w:pPr>
      <w:r>
        <w:rPr>
          <w:rFonts w:ascii="Tinos" w:hAnsi="Tinos" w:eastAsia="Tinos" w:cs="Tinos"/>
          <w:b/>
          <w:sz w:val="22"/>
          <w:szCs w:val="22"/>
          <w:highlight w:val="none"/>
        </w:rPr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  <w:r>
        <w:rPr>
          <w:rFonts w:ascii="Tinos" w:hAnsi="Tinos" w:cs="Tinos"/>
          <w:b/>
          <w:bCs/>
          <w:sz w:val="22"/>
          <w:szCs w:val="22"/>
          <w:highlight w:val="none"/>
        </w:rPr>
      </w:r>
    </w:p>
    <w:p>
      <w:pPr>
        <w:pStyle w:val="964"/>
        <w:jc w:val="center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Контракт № _____/26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jc w:val="center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на оказание услуг по технической охране 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jc w:val="both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tbl>
      <w:tblPr>
        <w:tblW w:w="10118" w:type="dxa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069"/>
        <w:gridCol w:w="2302"/>
        <w:gridCol w:w="3747"/>
      </w:tblGrid>
      <w:tr>
        <w:tblPrEx/>
        <w:trPr>
          <w:trHeight w:val="347"/>
        </w:trPr>
        <w:tc>
          <w:tcPr>
            <w:shd w:val="clear" w:color="auto" w:fill="auto"/>
            <w:tcW w:w="4069" w:type="dxa"/>
            <w:textDirection w:val="lrTb"/>
            <w:noWrap w:val="false"/>
          </w:tcPr>
          <w:p>
            <w:pPr>
              <w:pStyle w:val="964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г. Владимир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W w:w="6049" w:type="dxa"/>
            <w:textDirection w:val="lrTb"/>
            <w:noWrap w:val="false"/>
          </w:tcPr>
          <w:p>
            <w:pPr>
              <w:pStyle w:val="964"/>
              <w:jc w:val="righ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«____» _________________ 2026 г.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4"/>
        <w:ind w:left="0" w:right="0"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</w:rPr>
        <w:t xml:space="preserve">Государственное казенное учреждение Владимирской области «Центр безопасности дорожного движения Владимирской области» (ГКУ ВО «ЦБДД ВО»)</w:t>
      </w:r>
      <w:r>
        <w:rPr>
          <w:rFonts w:ascii="Tinos" w:hAnsi="Tinos" w:eastAsia="Tinos" w:cs="Tinos"/>
          <w:sz w:val="22"/>
          <w:szCs w:val="22"/>
        </w:rPr>
        <w:t xml:space="preserve">, именуемое в дальнейшем «Заказчик», в лице директора Булатова Евгения Олеговича, действующего на основании Устава, с одной стороны, и ________________________</w:t>
      </w:r>
      <w:r>
        <w:rPr>
          <w:rFonts w:ascii="Tinos" w:hAnsi="Tinos" w:eastAsia="Tinos" w:cs="Tinos"/>
          <w:sz w:val="22"/>
          <w:szCs w:val="22"/>
        </w:rPr>
        <w:t xml:space="preserve">, именуемое в дальнейшем «Исполнитель», в лице _____________________________, действующего на основании _____________________</w:t>
      </w:r>
      <w:r>
        <w:rPr>
          <w:rFonts w:ascii="Tinos" w:hAnsi="Tinos" w:eastAsia="Tinos" w:cs="Tinos"/>
          <w:sz w:val="22"/>
          <w:szCs w:val="22"/>
        </w:rPr>
        <w:t xml:space="preserve">, с другой стороны, именуемые в дальнейшем «Стороны», руководствуясь Гражданским Кодексом Российской Федерации, Приложением № 1 к приказу Федеральной службы войск национальной гвардии Российской Федерации от 1 июня</w:t>
      </w:r>
      <w:r>
        <w:rPr>
          <w:rFonts w:ascii="Tinos" w:hAnsi="Tinos" w:eastAsia="Tinos" w:cs="Tinos"/>
          <w:sz w:val="22"/>
          <w:szCs w:val="22"/>
        </w:rPr>
        <w:t xml:space="preserve"> 2020 г. № 149,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– контракт) о нижеследующем: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8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1. ПРЕДМЕТ КОНТРАКТА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56"/>
        <w:ind w:firstLine="708"/>
        <w:jc w:val="both"/>
        <w:shd w:val="clear" w:color="auto" w:fill="ffffff"/>
        <w:rPr>
          <w:rFonts w:ascii="Tinos" w:hAnsi="Tinos" w:cs="Tinos"/>
          <w:color w:val="22272f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1.1. По настоящему контракту Исполнитель обязуется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 оказывать услуги по обеспечению технической охраны АПВГК, включая техническое обслуживание технических средств охраны </w:t>
      </w:r>
      <w:r>
        <w:rPr>
          <w:rFonts w:ascii="Tinos" w:hAnsi="Tinos" w:eastAsia="Tinos" w:cs="Tinos"/>
          <w:sz w:val="22"/>
          <w:szCs w:val="22"/>
        </w:rPr>
        <w:t xml:space="preserve">(далее – Услуги) согласно Спецификац</w:t>
      </w:r>
      <w:r>
        <w:rPr>
          <w:rFonts w:ascii="Tinos" w:hAnsi="Tinos" w:eastAsia="Tinos" w:cs="Tinos"/>
          <w:sz w:val="22"/>
          <w:szCs w:val="22"/>
        </w:rPr>
        <w:t xml:space="preserve">ии (приложение №1 к настоящему контракту) и Техническому заданию (приложение № 2 к настоящему контракту) и сдать их результат Заказчику, а Заказчик обязуется принять и оплатить оказанные услуги на условиях, предусмотренных настоящим контрактом.</w:t>
      </w:r>
      <w:r>
        <w:rPr>
          <w:rFonts w:ascii="Tinos" w:hAnsi="Tinos" w:cs="Tinos"/>
          <w:color w:val="22272f"/>
          <w:sz w:val="22"/>
          <w:szCs w:val="22"/>
        </w:rPr>
      </w:r>
      <w:r>
        <w:rPr>
          <w:rFonts w:ascii="Tinos" w:hAnsi="Tinos" w:cs="Tinos"/>
          <w:color w:val="22272f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i/>
          <w:color w:val="000000" w:themeColor="text1"/>
          <w:sz w:val="22"/>
          <w:szCs w:val="22"/>
        </w:rPr>
      </w:pP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1.2. Сроки оказания услуг: с 01.11.2026 по 31.10.2027 включительно. Услуги оказываются Исполнителем по письменному заявлению Заказчика в течение указанного срока оказания услуг.</w:t>
      </w:r>
      <w:r>
        <w:rPr>
          <w:rFonts w:ascii="Tinos" w:hAnsi="Tinos" w:cs="Tinos"/>
          <w:i/>
          <w:color w:val="000000" w:themeColor="text1"/>
          <w:sz w:val="22"/>
          <w:szCs w:val="22"/>
        </w:rPr>
      </w:r>
      <w:r>
        <w:rPr>
          <w:rFonts w:ascii="Tinos" w:hAnsi="Tinos" w:cs="Tinos"/>
          <w:i/>
          <w:color w:val="000000" w:themeColor="text1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1.3. Место оказания услуг: </w:t>
      </w:r>
      <w:r>
        <w:rPr>
          <w:rFonts w:ascii="Tinos" w:hAnsi="Tinos" w:cs="Tinos"/>
          <w:color w:val="000000" w:themeColor="text1"/>
          <w:sz w:val="22"/>
          <w:szCs w:val="22"/>
        </w:rPr>
      </w:r>
      <w:r>
        <w:rPr>
          <w:rFonts w:ascii="Tinos" w:hAnsi="Tinos" w:cs="Tinos"/>
          <w:color w:val="000000" w:themeColor="text1"/>
          <w:sz w:val="22"/>
          <w:szCs w:val="22"/>
        </w:rPr>
      </w:r>
    </w:p>
    <w:p>
      <w:pPr>
        <w:pStyle w:val="871"/>
        <w:ind w:firstLine="850"/>
        <w:jc w:val="both"/>
        <w:spacing w:before="120" w:after="120" w:line="276" w:lineRule="auto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  <w:lang w:eastAsia="ar-SA"/>
        </w:rPr>
        <w:t xml:space="preserve">1.3.1.АПВГК на км 8+508 автомобильной дороги общего пользования межмуниципального значения «Струнино-Площево» в Александровском районе Владимирской области;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right="4"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  <w:lang w:eastAsia="ar-SA"/>
        </w:rPr>
        <w:t xml:space="preserve"> </w:t>
      </w:r>
      <w:r>
        <w:rPr>
          <w:rFonts w:ascii="Tinos" w:hAnsi="Tinos" w:eastAsia="Tinos" w:cs="Tinos"/>
          <w:bCs/>
          <w:sz w:val="22"/>
          <w:szCs w:val="22"/>
          <w:lang w:eastAsia="ar-SA"/>
        </w:rPr>
        <w:t xml:space="preserve">1.3.2. АПВГК на км127+600 автомобильной дороги «Колокша-Кольчугино-Александров-Верхние Дворики» в Александровском районе Владимирской области;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right="4"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color w:val="000000" w:themeColor="text1"/>
          <w:sz w:val="22"/>
          <w:szCs w:val="22"/>
          <w:lang w:eastAsia="ar-SA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2"/>
          <w:szCs w:val="22"/>
          <w:lang w:eastAsia="ar-SA"/>
        </w:rPr>
        <w:t xml:space="preserve">1.3.3. АПВГК на км3+387 автомобильной дороги «Дубки-Киржач» в Киржачском районе Владимирской области.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1.4. ИКЗ: </w:t>
      </w: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262332909487233290100100010000000244</w:t>
      </w: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.</w:t>
      </w:r>
      <w:r>
        <w:rPr>
          <w:rFonts w:ascii="Tinos" w:hAnsi="Tinos" w:cs="Tinos"/>
          <w:color w:val="000000" w:themeColor="text1"/>
          <w:sz w:val="22"/>
          <w:szCs w:val="22"/>
        </w:rPr>
      </w:r>
      <w:r>
        <w:rPr>
          <w:rFonts w:ascii="Tinos" w:hAnsi="Tinos" w:cs="Tinos"/>
          <w:color w:val="000000" w:themeColor="text1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709"/>
        <w:jc w:val="both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709"/>
        <w:jc w:val="center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2. ВЗАИМОДЕЙСТВИЕ СТОРОН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2.1. Исполнитель обязан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2.1.1. Оказать услуги Заказчику лично согласно Спецификации (приложение №1 к настоящему контракту) и Техническому заданию (приложение № 2 к настоящему контракту).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2.1.2. По окончании календарного месяца в течение 5 (пяти) рабочих дней предоставлять Заказчику документ о приемке </w:t>
      </w:r>
      <w:r>
        <w:rPr>
          <w:rFonts w:ascii="Tinos" w:hAnsi="Tinos" w:eastAsia="Tinos" w:cs="Tinos"/>
          <w:bCs/>
          <w:sz w:val="22"/>
          <w:szCs w:val="22"/>
          <w:lang w:eastAsia="ru-RU"/>
        </w:rPr>
        <w:t xml:space="preserve">и журнал учета мероприятий по охране АПВГК (приложение № 3 к Техническому заданию).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2.1.4. Оказывать услуги в соответствии с требованиями следующих нормативно-правовых актов Российской Федерации: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- Закон Российской Федерации от 11 марта 1992 года №2487-1 «О частной детективной и охранной деятельности в Российской Федерации»;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- Постановление Правительства Российской Федерации от 23 июня 2011 года № 498 «О некоторых вопросах осуществления частной детективной (сыскной) и частной охранной деятельности»;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- Постановление Правительства Российской Федерации от 14 августа 1992 года № 587 «Вопросы негосударственной (частной) охранной и негосударственной (частной) сыскной деятельности»;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- ГОСТ Р 59044-2020. «Национальный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требования».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2.1.5. Незамедлительно предоставлять Заказчику информацию об обстоятельствах, возникающих при выполнении обязательств, предусмотренных настоящим контрактом, влияющих на их своевременное и надлежащее выполнение, в том числе о вынесении </w:t>
      </w:r>
      <w:r>
        <w:rPr>
          <w:rFonts w:ascii="Tinos" w:hAnsi="Tinos" w:eastAsia="Tinos" w:cs="Tinos"/>
          <w:sz w:val="22"/>
          <w:szCs w:val="22"/>
        </w:rPr>
        <w:t xml:space="preserve">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2.2. Заказчик обязан: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2.2.1. Обеспечить Исполнителя информацией, необходимой для выполнения обязательств, предусмотренных настоящим контрактом.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2.2.2. С участием Исп</w:t>
      </w:r>
      <w:r>
        <w:rPr>
          <w:rFonts w:ascii="Tinos" w:hAnsi="Tinos" w:eastAsia="Tinos" w:cs="Tinos"/>
          <w:sz w:val="22"/>
          <w:szCs w:val="22"/>
        </w:rPr>
        <w:t xml:space="preserve">олнителя осмотреть и принять результат оказанных услуг в сроки и порядке, предусмотренные настоящим контрактом, а при обнаружении отступлений от настоящего контракта, ухудшающих результат оказанных услуг, немедленно письменно уведомить об этом Исполнителя.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2.2.3. Оплатить оказанные услуги в соответствии с условиями настоящего контракта.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2.2.4. Провести экспертизу результата оказанных услуг для проверки его на соответствие условиям контракта.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2.3. Исполнитель имеет право: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2.3.1. Требовать своевременного подписания Заказчиком документа о приемке по настоящему контракту в соответствии со сроком, указанным в </w:t>
      </w:r>
      <w:hyperlink w:tooltip="#P152" w:anchor="P152" w:history="1">
        <w:r>
          <w:rPr>
            <w:rFonts w:ascii="Tinos" w:hAnsi="Tinos" w:eastAsia="Tinos" w:cs="Tinos"/>
            <w:color w:val="0000ff"/>
            <w:sz w:val="22"/>
            <w:szCs w:val="22"/>
            <w:u w:val="single"/>
          </w:rPr>
          <w:t xml:space="preserve">пункте 3.1</w:t>
        </w:r>
      </w:hyperlink>
      <w:r>
        <w:rPr>
          <w:rFonts w:ascii="Tinos" w:hAnsi="Tinos" w:eastAsia="Tinos" w:cs="Tinos"/>
          <w:sz w:val="22"/>
          <w:szCs w:val="22"/>
        </w:rPr>
        <w:t xml:space="preserve"> настоящего контракта.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2.3.2. Требовать своевременной оплаты оказанных услуг в соответствии с </w:t>
      </w:r>
      <w:hyperlink w:tooltip="#P229" w:anchor="P229" w:history="1">
        <w:r>
          <w:rPr>
            <w:rFonts w:ascii="Tinos" w:hAnsi="Tinos" w:eastAsia="Tinos" w:cs="Tinos"/>
            <w:color w:val="0000ff"/>
            <w:sz w:val="22"/>
            <w:szCs w:val="22"/>
            <w:u w:val="single"/>
          </w:rPr>
          <w:t xml:space="preserve">пунктом 4.4</w:t>
        </w:r>
      </w:hyperlink>
      <w:r>
        <w:rPr>
          <w:rFonts w:ascii="Tinos" w:hAnsi="Tinos" w:eastAsia="Tinos" w:cs="Tinos"/>
          <w:sz w:val="22"/>
          <w:szCs w:val="22"/>
        </w:rPr>
        <w:t xml:space="preserve"> настоящего контракта.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2.3.3. Письменно запрашивать у Заказчика разъяснения и уточнения относительно оказания услуг в рамках настоящего контракта.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2.3.4. Осуществлять иные права, не указанные в тексте настоящего контракта, в соответствии с законодательными и иными нормативными правовыми актами Российской Федерации.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2.4. Заказчик имеет право: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2.4.1. В любое время проверять ход и качество услуг, оказываемых Исполнителем, не вмешиваясь в его хозяйственную деятельность.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2.4.2. Принять решение об одностороннем отказе от исполнения контракта в соответствии с гражданским законодательством.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2.4.3.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 на основании контрактов.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2.4.4. Осуществлять иные права в соответствии с законодательными и иными нормативными правовыми актами Российской Федерации.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3. ПОРЯДОК СДАЧИ И ПРИЕМКИ УСЛУГ, КАЧЕСТВО УСЛУГ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bookmarkStart w:id="0" w:name="P152"/>
      <w:r>
        <w:rPr>
          <w:rFonts w:ascii="Tinos" w:hAnsi="Tinos" w:eastAsia="Tinos" w:cs="Tinos"/>
          <w:sz w:val="22"/>
          <w:szCs w:val="22"/>
        </w:rPr>
      </w:r>
      <w:bookmarkEnd w:id="0"/>
      <w:r>
        <w:rPr>
          <w:rFonts w:ascii="Tinos" w:hAnsi="Tinos" w:eastAsia="Tinos" w:cs="Tinos"/>
          <w:sz w:val="22"/>
          <w:szCs w:val="22"/>
        </w:rPr>
        <w:t xml:space="preserve">3.1. Услуги по настоящему контракту оказываются помесячно. Исполнитель ежемесячно по окончании оказания услуг в течение 5 (пяти) рабочих дней предоставляет 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документ о приемке </w:t>
      </w:r>
      <w:r>
        <w:rPr>
          <w:rFonts w:ascii="Tinos" w:hAnsi="Tinos" w:eastAsia="Tinos" w:cs="Tinos"/>
          <w:sz w:val="22"/>
          <w:szCs w:val="22"/>
        </w:rPr>
        <w:t xml:space="preserve">(Акт оказанных услуг или Акт или Акт об оказанных услугах или Универсальный передаточный документ (далее УПД)).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К документу о приемке могут прилагаться документы, которые считаются его неотъемлемой частью.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В случ</w:t>
      </w:r>
      <w:r>
        <w:rPr>
          <w:rFonts w:ascii="Tinos" w:hAnsi="Tinos" w:eastAsia="Tinos" w:cs="Tinos"/>
          <w:sz w:val="22"/>
          <w:szCs w:val="22"/>
        </w:rPr>
        <w:t xml:space="preserve">а</w:t>
      </w:r>
      <w:r>
        <w:rPr>
          <w:rFonts w:ascii="Tinos" w:hAnsi="Tinos" w:eastAsia="Tinos" w:cs="Tinos"/>
          <w:sz w:val="22"/>
          <w:szCs w:val="22"/>
        </w:rPr>
        <w:t xml:space="preserve">е невозможности оказания услуг Заказчику по обеспечению технической охраной 24 часа в сутки 7 дней в неделю, оплата осуществляется за фактически отработанное время в соответствии с Расчетом стоимости оказания услуг (Приложением № 3 к Техническому заданию).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Приемка оказанных охранных услуг в соответствии с контрактом осуществляется Заказчиком в течение 10 (десяти) рабочих дней, включая проведение экспертизы (в течение 5 (пяти) рабочих дней) с момента предоставления Исполнителем документа о приемке.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3.2. Датой приемки оказанных охранных услуг считается дата подписания документа о приемке Заказчиком.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3.3. 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3.4. Устранение Исполнителем недостатков в оказании услуг не освобождает его от уплаты пени и штрафа по контракту.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709"/>
        <w:jc w:val="center"/>
        <w:rPr>
          <w:rFonts w:ascii="Tinos" w:hAnsi="Tinos" w:eastAsia="Tinos" w:cs="Tinos"/>
          <w:b/>
          <w:bCs/>
          <w:sz w:val="22"/>
          <w:szCs w:val="22"/>
          <w:highlight w:val="none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4. ЦЕНА И ПОРЯДОК РАСЧЕТОВ</w:t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  <w:r>
        <w:rPr>
          <w:rFonts w:ascii="Tinos" w:hAnsi="Tinos" w:eastAsia="Tinos" w:cs="Tinos"/>
          <w:b/>
          <w:bCs/>
          <w:sz w:val="22"/>
          <w:szCs w:val="22"/>
          <w:highlight w:val="none"/>
        </w:rPr>
      </w:r>
    </w:p>
    <w:p>
      <w:pPr>
        <w:pStyle w:val="964"/>
        <w:numPr>
          <w:ilvl w:val="0"/>
          <w:numId w:val="0"/>
        </w:numPr>
        <w:ind w:left="0" w:firstLine="709"/>
        <w:jc w:val="center"/>
        <w:rPr>
          <w:rFonts w:ascii="Tinos" w:hAnsi="Tinos" w:cs="Tinos"/>
          <w:b/>
          <w:bCs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  <w:highlight w:val="none"/>
        </w:rPr>
      </w:r>
      <w:r>
        <w:rPr>
          <w:rFonts w:ascii="Tinos" w:hAnsi="Tinos" w:eastAsia="Tinos" w:cs="Tinos"/>
          <w:b/>
          <w:sz w:val="22"/>
          <w:szCs w:val="22"/>
          <w:highlight w:val="none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pStyle w:val="873"/>
        <w:numPr>
          <w:ilvl w:val="0"/>
          <w:numId w:val="0"/>
        </w:numPr>
        <w:ind w:left="0" w:firstLine="709"/>
        <w:jc w:val="both"/>
        <w:rPr>
          <w:rFonts w:ascii="Tinos" w:hAnsi="Tinos" w:cs="Tinos"/>
          <w:sz w:val="22"/>
          <w:szCs w:val="22"/>
          <w:highlight w:val="none"/>
          <w:shd w:val="clear" w:color="auto" w:fill="ffffff"/>
        </w:rPr>
      </w:pP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4.1. </w:t>
      </w:r>
      <w:bookmarkStart w:id="1" w:name="P226"/>
      <w:r>
        <w:rPr>
          <w:rFonts w:ascii="Tinos" w:hAnsi="Tinos" w:eastAsia="Tinos" w:cs="Tinos"/>
          <w:sz w:val="22"/>
          <w:szCs w:val="22"/>
        </w:rPr>
      </w:r>
      <w:bookmarkEnd w:id="1"/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Цена контракта составляет ______________</w:t>
      </w:r>
      <w:r>
        <w:rPr>
          <w:rFonts w:ascii="Tinos" w:hAnsi="Tinos" w:eastAsia="Tinos" w:cs="Tinos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Tinos" w:hAnsi="Tinos" w:eastAsia="Tinos" w:cs="Tinos"/>
          <w:b/>
          <w:bCs w:val="0"/>
          <w:sz w:val="22"/>
          <w:szCs w:val="22"/>
          <w:shd w:val="clear" w:color="auto" w:fill="ffffff"/>
        </w:rPr>
        <w:t xml:space="preserve">(__________) рублей 00 копеек</w:t>
      </w: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, НДС/БЕЗ НДС </w:t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  <w:highlight w:val="none"/>
          <w:shd w:val="clear" w:color="auto" w:fill="ffffff"/>
        </w:rPr>
      </w:pP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Объем финансирования:</w:t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  <w:highlight w:val="none"/>
          <w:shd w:val="clear" w:color="auto" w:fill="ffffff"/>
        </w:rPr>
      </w:pP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на 2026 год ___________ (_____) рублей ______ копеек, </w:t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  <w:highlight w:val="none"/>
          <w:shd w:val="clear" w:color="auto" w:fill="ffffff"/>
        </w:rPr>
      </w:pP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на 2027 год </w:t>
      </w: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___________ (_____) рублей ______ копеек</w:t>
      </w: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.</w:t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  <w:r>
        <w:rPr>
          <w:rFonts w:ascii="Tinos" w:hAnsi="Tinos" w:cs="Tinos"/>
          <w:sz w:val="22"/>
          <w:szCs w:val="22"/>
          <w:highlight w:val="none"/>
          <w:shd w:val="clear" w:color="auto" w:fill="ffffff"/>
        </w:rPr>
      </w:r>
    </w:p>
    <w:p>
      <w:pPr>
        <w:pStyle w:val="965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  <w:shd w:val="clear" w:color="auto" w:fill="ffffff"/>
        </w:rPr>
        <w:t xml:space="preserve">4.2. Цена контракта является твердой и определяется на весь срок исп</w:t>
      </w:r>
      <w:r>
        <w:rPr>
          <w:rFonts w:ascii="Tinos" w:hAnsi="Tinos" w:eastAsia="Tinos" w:cs="Tinos"/>
          <w:sz w:val="22"/>
          <w:szCs w:val="22"/>
        </w:rPr>
        <w:t xml:space="preserve">олнения контракта и не подлежит изменению, за исключением случаев, установленных Федеральным </w:t>
      </w:r>
      <w:hyperlink r:id="rId14" w:tooltip="consultantplus://offline/ref=BAA57F9A88C66CFCC720A999A759A1BC83968EAF5013C05B682F8D8F43023CC8C60047D7825AA88E3F1F6BD2BA53XAP" w:history="1">
        <w:r>
          <w:rPr>
            <w:rFonts w:ascii="Tinos" w:hAnsi="Tinos" w:eastAsia="Tinos" w:cs="Tinos"/>
            <w:color w:val="0000ff"/>
            <w:sz w:val="22"/>
            <w:szCs w:val="22"/>
            <w:u w:val="single"/>
          </w:rPr>
          <w:t xml:space="preserve">законом</w:t>
        </w:r>
      </w:hyperlink>
      <w:r>
        <w:rPr>
          <w:rFonts w:ascii="Tinos" w:hAnsi="Tinos" w:eastAsia="Tinos" w:cs="Tinos"/>
          <w:sz w:val="22"/>
          <w:szCs w:val="22"/>
        </w:rPr>
        <w:t xml:space="preserve"> N 44-ФЗ.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Цена контракта уменьшается на сумму, подлежащую уплате Заказчиком Исполнителю, уменьшается на размер налогов, сборов и иных обязательных платежей в бюджеты бюджетной системы Р</w:t>
      </w:r>
      <w:r>
        <w:rPr>
          <w:rFonts w:ascii="Tinos" w:hAnsi="Tinos" w:eastAsia="Tinos" w:cs="Tinos"/>
          <w:sz w:val="22"/>
          <w:szCs w:val="22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4.3. Источник финансирования: областной бюджет. Расчеты по контракту осуществляются в рублях.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bookmarkStart w:id="2" w:name="P229"/>
      <w:r>
        <w:rPr>
          <w:rFonts w:ascii="Tinos" w:hAnsi="Tinos" w:eastAsia="Tinos" w:cs="Tinos"/>
          <w:sz w:val="22"/>
          <w:szCs w:val="22"/>
        </w:rPr>
      </w:r>
      <w:bookmarkEnd w:id="2"/>
      <w:r>
        <w:rPr>
          <w:rFonts w:ascii="Tinos" w:hAnsi="Tinos" w:eastAsia="Tinos" w:cs="Tinos"/>
          <w:sz w:val="22"/>
          <w:szCs w:val="22"/>
        </w:rPr>
        <w:t xml:space="preserve">4.4. Оплата за оказанные услуги осуществляется Заказчиком ежемесячно в течение 7 (семи) рабочих дней с даты подписания Заказчиком д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окумента о приемке</w:t>
      </w:r>
      <w:r>
        <w:rPr>
          <w:rFonts w:ascii="Tinos" w:hAnsi="Tinos" w:eastAsia="Tinos" w:cs="Tinos"/>
          <w:sz w:val="22"/>
          <w:szCs w:val="22"/>
        </w:rPr>
        <w:t xml:space="preserve">.</w:t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4.5. 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 Документы о приемке могут быть предоставлены как в электронном виде через систему «СБиС», так и на бумажном носителе.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Д</w:t>
      </w:r>
      <w:r>
        <w:rPr>
          <w:rFonts w:ascii="Tinos" w:hAnsi="Tinos" w:eastAsia="Tinos" w:cs="Tinos"/>
          <w:sz w:val="22"/>
          <w:szCs w:val="22"/>
        </w:rPr>
        <w:t xml:space="preserve">ля предоставления документов в электронном виде необходим квалифицированный сертификат электронной подписи. Для его получения необходимо обратиться к оператору ЭДО, оставив заявку на сайте https://sbis.ru/contacts/ (ООО «Компания «Тензор» (система «СБиС»).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4.6.1. Электронный документооборот осуществляется Сторонами в соответствии с действующим законодательством РФ, в том числе Гражданским кодексом РФ, Налоговым кодексом РФ, Федеральным законом РФ от 06.04.2011 № 63-ФЗ «Об электронной подписи».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4.6.2. Датой получения Стороной Электронного документа/Пакета электронных документов считается дата поступления ей Оператором ЭДО файла Электронного документа/Пакета электронных документов другой Стороной, указанная в подтверждении этого Оператора ЭДО.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4.6.3. Датой приемки оказанных услуг Стороной Электронного документа/Пакета электронных документов считается дата подписания Заказчиком файла Электронного документа/Пакета электронных документов, указанная в подтверждении этого Оператора ЭДО.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4.6.4. В случае необходимости внесения</w:t>
      </w:r>
      <w:r>
        <w:rPr>
          <w:rFonts w:ascii="Tinos" w:hAnsi="Tinos" w:eastAsia="Tinos" w:cs="Tinos"/>
          <w:sz w:val="22"/>
          <w:szCs w:val="22"/>
        </w:rPr>
        <w:t xml:space="preserve"> корректировок в направленный посредством ЭДО документ, Сторона, направившая документ, составляет соответствующее информационное письмо и направляет откорректированный документ и информационное письмо другой Стороне в порядке, установленном Оператором ЭДО.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4.6.5. Получение докум</w:t>
      </w:r>
      <w:r>
        <w:rPr>
          <w:rFonts w:ascii="Tinos" w:hAnsi="Tinos" w:eastAsia="Tinos" w:cs="Tinos"/>
          <w:sz w:val="22"/>
          <w:szCs w:val="22"/>
        </w:rPr>
        <w:t xml:space="preserve">ентов в электронном виде и подписанных Электронной подписью в порядке, эквивалентно получению документов на бумажном носителе и является необходимым достаточным условием, позволяющим установить, что Электронный документ исходит от Стороны, его направившей.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4.6.6. Одной электронной подписью могут быть подписаны несколько связанных между собой Электронных документов - Пакет электронных документов.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4.6.7. Передача электронных документов осуществляется с соблюдением всех требований законо</w:t>
      </w:r>
      <w:r>
        <w:rPr>
          <w:rFonts w:ascii="Tinos" w:hAnsi="Tinos" w:eastAsia="Tinos" w:cs="Tinos"/>
          <w:sz w:val="22"/>
          <w:szCs w:val="22"/>
        </w:rPr>
        <w:t xml:space="preserve">дательства через аккредитованных ФНС РФ операторов электронного документооборота (п. 4.6), документы, подписанные электронной подписью, являются оригиналами, их не нужно распечатывать, а первичные учетные документы можно представлять в ИФНС через Интернет.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4.7. Обязанности Заказчика по оплате услуги считаются исполненными с момента списания денежных средств со счета Заказчика.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center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pStyle w:val="871"/>
        <w:ind w:firstLine="709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</w:rPr>
        <w:t xml:space="preserve">5. КАЧЕСТВО ОКАЗЫВАЕМЫХ УСЛУГ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5.1. </w:t>
      </w:r>
      <w:bookmarkStart w:id="3" w:name="_Hlk195265575"/>
      <w:r>
        <w:rPr>
          <w:rFonts w:ascii="Tinos" w:hAnsi="Tinos" w:eastAsia="Tinos" w:cs="Tinos"/>
          <w:sz w:val="22"/>
          <w:szCs w:val="22"/>
        </w:rPr>
        <w:t xml:space="preserve">Качество оказываемых услуг </w:t>
      </w:r>
      <w:bookmarkEnd w:id="3"/>
      <w:r>
        <w:rPr>
          <w:rFonts w:ascii="Tinos" w:hAnsi="Tinos" w:eastAsia="Tinos" w:cs="Tinos"/>
          <w:sz w:val="22"/>
          <w:szCs w:val="22"/>
        </w:rPr>
        <w:t xml:space="preserve">должно соответствовать требованиям действующего законодательства Российской Федерации, требованиям Приложения № 2 к контракту «Техническое задание».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5.2. Гарантийный срок на услугу, которая оказывается по контракту, устанавливается в течение всего срока действия контракта. Объем предоставления гарантий качества услуги: 100% в течение гарантийного срока.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709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709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6. ОТВЕТСТВЕННОСТЬ СТОРОН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6.1. Исполнитель не несет материальной ответственности по данному Контракту.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6.2. В случае неисполнения Исполнителем условий контракта Заказчик вправе обратиться в суд с требованием о расторжении контракта.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6.3.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 Ответственность заказчика: (ч. 5 ст. 34 Закона)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6.4.1. В случае п</w:t>
      </w:r>
      <w:r>
        <w:rPr>
          <w:rFonts w:ascii="Tinos" w:hAnsi="Tinos" w:eastAsia="Tinos" w:cs="Tinos"/>
          <w:bCs/>
          <w:sz w:val="22"/>
          <w:szCs w:val="22"/>
        </w:rPr>
        <w:t xml:space="preserve">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6.4.2. Пеня начисляется за каждый день просрочки исполнения обязательства, предусмотренного контрактом, начиная со дня, следующего после</w:t>
      </w:r>
      <w:r>
        <w:rPr>
          <w:rFonts w:ascii="Tinos" w:hAnsi="Tinos" w:eastAsia="Tinos" w:cs="Tinos"/>
          <w:bCs/>
          <w:sz w:val="22"/>
          <w:szCs w:val="22"/>
        </w:rPr>
        <w:t xml:space="preserve">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bCs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6.4.3.1. За каждый факт неисполнения заказчиком обязательств, предусмотренных контрактом, за исключением просрочки исполнения обязательств, предусмотр</w:t>
      </w:r>
      <w:r>
        <w:rPr>
          <w:rFonts w:ascii="Tinos" w:hAnsi="Tinos" w:eastAsia="Tinos" w:cs="Tinos"/>
          <w:bCs/>
          <w:sz w:val="22"/>
          <w:szCs w:val="22"/>
        </w:rPr>
        <w:t xml:space="preserve">енных контрактом, размер штрафа устанавливается в порядке, установленном с Правилами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</w:t>
      </w:r>
      <w:r>
        <w:rPr>
          <w:rFonts w:ascii="Tinos" w:hAnsi="Tinos" w:eastAsia="Tinos" w:cs="Tinos"/>
          <w:bCs/>
          <w:sz w:val="22"/>
          <w:szCs w:val="22"/>
        </w:rPr>
        <w:t xml:space="preserve"> контрактом (за исключением просрочки исполнения обязательств заказчиком, поставщиком (подрядчиком, </w:t>
      </w:r>
      <w:r>
        <w:rPr>
          <w:rFonts w:ascii="Tinos" w:hAnsi="Tinos" w:eastAsia="Tinos" w:cs="Tinos"/>
          <w:bCs/>
          <w:sz w:val="22"/>
          <w:szCs w:val="22"/>
        </w:rPr>
        <w:t xml:space="preserve">исполнителем), утвержденными постановлением Правительства Российской Федерации от 30 августа 2017 г. № 1042.</w:t>
      </w:r>
      <w:r>
        <w:rPr>
          <w:rFonts w:ascii="Tinos" w:hAnsi="Tinos" w:cs="Tinos"/>
          <w:bCs/>
          <w:sz w:val="22"/>
          <w:szCs w:val="22"/>
        </w:rPr>
      </w:r>
      <w:r>
        <w:rPr>
          <w:rFonts w:ascii="Tinos" w:hAnsi="Tinos" w:cs="Tinos"/>
          <w:bCs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6.4.3.2. Общая сумма начисленных штрафов за ненадлежащее исполнение заказчиком обязательств, предусмотренных контрактом, не может превышать цену контракта.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6.4.4. Заказчик производит о</w:t>
      </w:r>
      <w:r>
        <w:rPr>
          <w:rFonts w:ascii="Tinos" w:hAnsi="Tinos" w:eastAsia="Tinos" w:cs="Tinos"/>
          <w:bCs/>
          <w:sz w:val="22"/>
          <w:szCs w:val="22"/>
        </w:rPr>
        <w:t xml:space="preserve">плату неустоек (штрафов, пеней) в порядке и сроки, указанные в письменном требовании Исполнителя. Срок оплаты неустоек (штрафов, пеней), указанный в письменном требовании Исполнителя, не может быть менее 10 дней с даты предъявления требования об их уплате.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 Ответственность Исполнителя: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6.5.1. В случае просрочки исполнения </w:t>
      </w:r>
      <w:bookmarkStart w:id="4" w:name="_Hlk195263599"/>
      <w:r>
        <w:rPr>
          <w:rFonts w:ascii="Tinos" w:hAnsi="Tinos" w:eastAsia="Tinos" w:cs="Tinos"/>
          <w:bCs/>
          <w:sz w:val="22"/>
          <w:szCs w:val="22"/>
        </w:rPr>
        <w:t xml:space="preserve">Исполнителем</w:t>
      </w:r>
      <w:bookmarkEnd w:id="4"/>
      <w:r>
        <w:rPr>
          <w:rFonts w:ascii="Tinos" w:hAnsi="Tinos" w:eastAsia="Tinos" w:cs="Tinos"/>
          <w:bCs/>
          <w:sz w:val="22"/>
          <w:szCs w:val="22"/>
        </w:rPr>
        <w:t xml:space="preserve">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</w:t>
      </w:r>
      <w:r>
        <w:rPr>
          <w:rFonts w:ascii="Tinos" w:hAnsi="Tinos" w:eastAsia="Tinos" w:cs="Tinos"/>
          <w:bCs/>
          <w:sz w:val="22"/>
          <w:szCs w:val="22"/>
        </w:rPr>
        <w:t xml:space="preserve">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6.5.3.1. За каждый факт неисполнения или ненадлежащего исполнения Исполнителем обязательств, предусмот</w:t>
      </w:r>
      <w:r>
        <w:rPr>
          <w:rFonts w:ascii="Tinos" w:hAnsi="Tinos" w:eastAsia="Tinos" w:cs="Tinos"/>
          <w:bCs/>
          <w:sz w:val="22"/>
          <w:szCs w:val="22"/>
        </w:rPr>
        <w:t xml:space="preserve">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контракта, но не более 5 тыс. рублей и не менее 1 тыс. рублей.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6.5.3.2. За каждый факт неи</w:t>
      </w:r>
      <w:r>
        <w:rPr>
          <w:rFonts w:ascii="Tinos" w:hAnsi="Tinos" w:eastAsia="Tinos" w:cs="Tinos"/>
          <w:bCs/>
          <w:sz w:val="22"/>
          <w:szCs w:val="22"/>
        </w:rPr>
        <w:t xml:space="preserve">сполнения или ненадлежащего исполнения Исполнителем обязательства, предусмотренного контрактом, которое не имеет стоимостного выражения, Исполнитель уплачивает заказчику штраф. Размер штрафа определяется в соответствии с Правилами и составляет 1000 рублей.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6.5.3.3.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</w:rPr>
        <w:t xml:space="preserve">6.5.4. За каждый день просрочки исполнения Исполнителем обязательства, предусмотренного частью 30 статьи 34 Закона, начисляется пеня в размере, определенном в порядке, установленном в пункте 6.5.2 контракта.  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7. ОБСТОЯТЕЛЬСТВА НЕПРЕОДОЛИМОЙ СИЛЫ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7.1.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7.2. Сторона, у которой воз</w:t>
      </w:r>
      <w:r>
        <w:rPr>
          <w:rFonts w:ascii="Tinos" w:hAnsi="Tinos" w:eastAsia="Tinos" w:cs="Tinos"/>
          <w:sz w:val="22"/>
          <w:szCs w:val="22"/>
        </w:rPr>
        <w:t xml:space="preserve">никли обстоятельства непреодолимой силы, обязана в течение пяти календарных дней письменно информировать другую Сторону о произошедших обстоятельствах и их причинах с приложением документов, удостоверяющих факт наступления обстоятельств непреодолимой силы.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8. ПОРЯДОК УРЕГУЛИРОВАНИЯ СПОРОВ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8.1. Стороны принимают все меры к тому, чтобы любые споры, разногласия либо претензии, касающиеся исполнения настоящего контракта или в связи с ним, были урегулированы путем переговоров.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8.2. В случае наличия споров, разногласий и претензий относительно исполнения одной из Сторон своих обязательств другая Сторона мож</w:t>
      </w:r>
      <w:r>
        <w:rPr>
          <w:rFonts w:ascii="Tinos" w:hAnsi="Tinos" w:eastAsia="Tinos" w:cs="Tinos"/>
          <w:sz w:val="22"/>
          <w:szCs w:val="22"/>
        </w:rPr>
        <w:t xml:space="preserve">ет направить претензию.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8.3. Любые споры, неурегулированные во внесудебном порядке, разрешаются в Арбитражном суде Владимирской области.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jc w:val="both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pStyle w:val="964"/>
        <w:jc w:val="center"/>
      </w:pPr>
      <w:r>
        <w:rPr>
          <w:rFonts w:ascii="Tinos" w:hAnsi="Tinos" w:cs="Tinos"/>
          <w:b/>
          <w:bCs/>
          <w:sz w:val="22"/>
          <w:szCs w:val="22"/>
        </w:rPr>
        <w:t xml:space="preserve">9. АНТИКОРРУПЦИОННАЯ ОГОВОРКА</w:t>
      </w:r>
      <w:r>
        <w:rPr>
          <w:rFonts w:ascii="Tinos" w:hAnsi="Tinos" w:cs="Tinos"/>
          <w:b/>
          <w:bCs/>
          <w:sz w:val="22"/>
          <w:szCs w:val="22"/>
        </w:rPr>
      </w:r>
      <w:r/>
    </w:p>
    <w:p>
      <w:pPr>
        <w:pStyle w:val="964"/>
        <w:ind w:left="0" w:right="0" w:firstLine="709"/>
        <w:jc w:val="both"/>
        <w:rPr>
          <w:b w:val="0"/>
          <w:bCs w:val="0"/>
        </w:rPr>
      </w:pPr>
      <w:r>
        <w:rPr>
          <w:rFonts w:ascii="Tinos" w:hAnsi="Tinos" w:cs="Tinos"/>
          <w:b w:val="0"/>
          <w:bCs w:val="0"/>
          <w:sz w:val="22"/>
          <w:szCs w:val="22"/>
        </w:rPr>
        <w:t xml:space="preserve">9.1. Стороны Контракта, их аффилированные (взаимосвязанные) лица, работники и посредники, не вправе ни прямо, ни косвенно предлагать и выплачивать денежные средства или иные ценности сотрудникам и представителям другой стороны с целью оказания влияния на и</w:t>
      </w:r>
      <w:r>
        <w:rPr>
          <w:rFonts w:ascii="Tinos" w:hAnsi="Tinos" w:cs="Tinos"/>
          <w:b w:val="0"/>
          <w:bCs w:val="0"/>
          <w:sz w:val="22"/>
          <w:szCs w:val="22"/>
        </w:rPr>
        <w:t xml:space="preserve">х действия и решения по Контракту или получения иных не правомерных преимуществ в связи с его исполнением.</w:t>
      </w:r>
      <w:r>
        <w:rPr>
          <w:rFonts w:ascii="Tinos" w:hAnsi="Tinos" w:cs="Tinos"/>
          <w:b w:val="0"/>
          <w:bCs w:val="0"/>
          <w:sz w:val="22"/>
          <w:szCs w:val="22"/>
        </w:rPr>
      </w:r>
      <w:r>
        <w:rPr>
          <w:b w:val="0"/>
          <w:bCs w:val="0"/>
        </w:rPr>
      </w:r>
    </w:p>
    <w:p>
      <w:pPr>
        <w:pStyle w:val="964"/>
        <w:ind w:left="0" w:right="0" w:firstLine="709"/>
        <w:jc w:val="both"/>
        <w:rPr>
          <w:b w:val="0"/>
          <w:bCs w:val="0"/>
        </w:rPr>
      </w:pPr>
      <w:r>
        <w:rPr>
          <w:rFonts w:ascii="Tinos" w:hAnsi="Tinos" w:cs="Tinos"/>
          <w:b w:val="0"/>
          <w:bCs w:val="0"/>
          <w:sz w:val="22"/>
          <w:szCs w:val="22"/>
        </w:rPr>
        <w:t xml:space="preserve">9</w:t>
      </w:r>
      <w:r>
        <w:rPr>
          <w:rFonts w:ascii="Tinos" w:hAnsi="Tinos" w:cs="Tinos"/>
          <w:b w:val="0"/>
          <w:bCs w:val="0"/>
          <w:sz w:val="22"/>
          <w:szCs w:val="22"/>
        </w:rPr>
        <w:t xml:space="preserve">.2. Для исполнения Контракта не допускается осуществлять действия, квалифицируемые как дача (получение)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</w:t>
      </w:r>
      <w:r>
        <w:rPr>
          <w:rFonts w:ascii="Tinos" w:hAnsi="Tinos" w:cs="Tinos"/>
          <w:b w:val="0"/>
          <w:bCs w:val="0"/>
          <w:sz w:val="22"/>
          <w:szCs w:val="22"/>
        </w:rPr>
        <w:t xml:space="preserve">ции (отмыванию) доходов, полученных преступным путем и иные коррупционные нарушения как в отношениях между сторонами Контракта так и в отношениях с третьими лицами и государственными органами. </w:t>
      </w:r>
      <w:r>
        <w:rPr>
          <w:rFonts w:ascii="Tinos" w:hAnsi="Tinos" w:cs="Tinos"/>
          <w:b w:val="0"/>
          <w:bCs w:val="0"/>
          <w:sz w:val="22"/>
          <w:szCs w:val="22"/>
        </w:rPr>
      </w:r>
      <w:r>
        <w:rPr>
          <w:b w:val="0"/>
          <w:bCs w:val="0"/>
        </w:rPr>
      </w:r>
    </w:p>
    <w:p>
      <w:pPr>
        <w:pStyle w:val="964"/>
        <w:ind w:left="0" w:right="0" w:firstLine="709"/>
        <w:jc w:val="both"/>
        <w:rPr>
          <w:rFonts w:ascii="Tinos" w:hAnsi="Tinos" w:cs="Tinos"/>
          <w:b w:val="0"/>
          <w:bCs w:val="0"/>
          <w:sz w:val="22"/>
          <w:szCs w:val="22"/>
        </w:rPr>
      </w:pPr>
      <w:r>
        <w:rPr>
          <w:rFonts w:ascii="Tinos" w:hAnsi="Tinos" w:cs="Tinos"/>
          <w:b w:val="0"/>
          <w:bCs w:val="0"/>
          <w:sz w:val="22"/>
          <w:szCs w:val="22"/>
        </w:rPr>
        <w:t xml:space="preserve">9</w:t>
      </w:r>
      <w:r>
        <w:rPr>
          <w:rFonts w:ascii="Tinos" w:hAnsi="Tinos" w:cs="Tinos"/>
          <w:b w:val="0"/>
          <w:bCs w:val="0"/>
          <w:sz w:val="22"/>
          <w:szCs w:val="22"/>
        </w:rPr>
        <w:t xml:space="preserve">.3. В случае возникновения у сторон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</w:t>
      </w:r>
      <w:r>
        <w:rPr>
          <w:rFonts w:ascii="Tinos" w:hAnsi="Tinos" w:cs="Tinos"/>
          <w:b w:val="0"/>
          <w:bCs w:val="0"/>
          <w:sz w:val="22"/>
          <w:szCs w:val="22"/>
        </w:rPr>
        <w:t xml:space="preserve">решения сложившейся ситуации.</w:t>
      </w:r>
      <w:r>
        <w:rPr>
          <w:rFonts w:ascii="Tinos" w:hAnsi="Tinos" w:cs="Tinos"/>
          <w:b w:val="0"/>
          <w:bCs w:val="0"/>
          <w:sz w:val="22"/>
          <w:szCs w:val="22"/>
        </w:rPr>
      </w:r>
      <w:r>
        <w:rPr>
          <w:rFonts w:ascii="Tinos" w:hAnsi="Tinos" w:cs="Tinos"/>
          <w:b w:val="0"/>
          <w:bCs w:val="0"/>
          <w:sz w:val="22"/>
          <w:szCs w:val="22"/>
        </w:rPr>
      </w:r>
    </w:p>
    <w:p>
      <w:pPr>
        <w:pStyle w:val="964"/>
        <w:jc w:val="both"/>
        <w:rPr>
          <w:rFonts w:ascii="Tinos" w:hAnsi="Tinos" w:cs="Tinos"/>
          <w:b/>
          <w:bCs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b/>
          <w:sz w:val="22"/>
          <w:szCs w:val="22"/>
        </w:rPr>
        <w:outlineLvl w:val="1"/>
      </w:pPr>
      <w:r>
        <w:rPr>
          <w:rFonts w:ascii="Tinos" w:hAnsi="Tinos" w:eastAsia="Tinos" w:cs="Tinos"/>
          <w:b/>
          <w:sz w:val="22"/>
          <w:szCs w:val="22"/>
        </w:rPr>
        <w:t xml:space="preserve">10. СРОК ДЕЙСТВИЯ КОНТРАКТА, ЗАКЛЮЧИТЕЛЬНЫЕ ПОЛОЖЕНИЯ</w:t>
      </w:r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bookmarkStart w:id="5" w:name="P373"/>
      <w:r>
        <w:rPr>
          <w:rFonts w:ascii="Tinos" w:hAnsi="Tinos" w:eastAsia="Tinos" w:cs="Tinos"/>
          <w:sz w:val="22"/>
          <w:szCs w:val="22"/>
        </w:rPr>
      </w:r>
      <w:bookmarkEnd w:id="5"/>
      <w:r>
        <w:rPr>
          <w:rFonts w:ascii="Tinos" w:hAnsi="Tinos" w:eastAsia="Tinos" w:cs="Tinos"/>
          <w:sz w:val="22"/>
          <w:szCs w:val="22"/>
        </w:rPr>
        <w:t xml:space="preserve">10.1. Контракт вступает в силу и становится обязательным для сторон с 01 ноября 2026 года и действует до 31 декабря 2027 года (включая приемку и оплату оказанных услуг), в части финансовых обязательств - до полного исполнения.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Окончание срока действия контракта не влечет прекращения неисполненных обязательств Сторон по контракту, в том числе гарантийных обязательств Исполнителя при их установлении Заказчиком.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10.2. Изменение существенных условий контракта при его исполнении не допускается, за исключением случаев, предусмотренных Федеральным </w:t>
      </w:r>
      <w:hyperlink r:id="rId15" w:tooltip="consultantplus://offline/ref=BAA57F9A88C66CFCC720A999A759A1BC83968EAF5013C05B682F8D8F43023CC8C60047D7825AA88E3F1F6BD2BA53XAP" w:history="1">
        <w:r>
          <w:rPr>
            <w:rFonts w:ascii="Tinos" w:hAnsi="Tinos" w:eastAsia="Tinos" w:cs="Tinos"/>
            <w:color w:val="0000ff"/>
            <w:sz w:val="22"/>
            <w:szCs w:val="22"/>
            <w:u w:val="single"/>
          </w:rPr>
          <w:t xml:space="preserve">законом</w:t>
        </w:r>
      </w:hyperlink>
      <w:r>
        <w:rPr>
          <w:rFonts w:ascii="Tinos" w:hAnsi="Tinos" w:eastAsia="Tinos" w:cs="Tinos"/>
          <w:sz w:val="22"/>
          <w:szCs w:val="22"/>
        </w:rPr>
        <w:t xml:space="preserve"> N 44-ФЗ.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10.3. В случае изменения у какой-либо из Сторон местонахождения, названия, банковских реквизитов или в случае реорганизации она обязана в течение 5 (пяти) календарных дней письменно известить об этом другую Сторону.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10.4.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</w:t>
      </w:r>
      <w:hyperlink r:id="rId16" w:tooltip="consultantplus://offline/ref=BAA57F9A88C66CFCC720A999A759A1BC83968EAF5013C05B682F8D8F43023CC8D4001FDB825FB58C320A3D83FC6F8D75B5F9B3B9888159BE5FX3P" w:history="1">
        <w:r>
          <w:rPr>
            <w:rFonts w:ascii="Tinos" w:hAnsi="Tinos" w:eastAsia="Tinos" w:cs="Tinos"/>
            <w:color w:val="0000ff"/>
            <w:sz w:val="22"/>
            <w:szCs w:val="22"/>
            <w:u w:val="single"/>
          </w:rPr>
          <w:t xml:space="preserve">частей 8</w:t>
        </w:r>
      </w:hyperlink>
      <w:r>
        <w:rPr>
          <w:rFonts w:ascii="Tinos" w:hAnsi="Tinos" w:eastAsia="Tinos" w:cs="Tinos"/>
          <w:sz w:val="22"/>
          <w:szCs w:val="22"/>
        </w:rPr>
        <w:t xml:space="preserve"> - </w:t>
      </w:r>
      <w:hyperlink r:id="rId17" w:tooltip="consultantplus://offline/ref=BAA57F9A88C66CFCC720A999A759A1BC83968EAF5013C05B682F8D8F43023CC8D4001FDB825FB58A350A3D83FC6F8D75B5F9B3B9888159BE5FX3P" w:history="1">
        <w:r>
          <w:rPr>
            <w:rFonts w:ascii="Tinos" w:hAnsi="Tinos" w:eastAsia="Tinos" w:cs="Tinos"/>
            <w:color w:val="0000ff"/>
            <w:sz w:val="22"/>
            <w:szCs w:val="22"/>
            <w:u w:val="single"/>
          </w:rPr>
          <w:t xml:space="preserve">25 статьи 95</w:t>
        </w:r>
      </w:hyperlink>
      <w:r>
        <w:rPr>
          <w:rFonts w:ascii="Tinos" w:hAnsi="Tinos" w:eastAsia="Tinos" w:cs="Tinos"/>
          <w:sz w:val="22"/>
          <w:szCs w:val="22"/>
        </w:rPr>
        <w:t xml:space="preserve"> Федерального закона N 44-ФЗ.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10.5. Любая корреспонденция, которую одна Сторона направляет другой Стороне в соответствии с контрактом, направля</w:t>
      </w:r>
      <w:r>
        <w:rPr>
          <w:rFonts w:ascii="Tinos" w:hAnsi="Tinos" w:eastAsia="Tinos" w:cs="Tinos"/>
          <w:sz w:val="22"/>
          <w:szCs w:val="22"/>
        </w:rPr>
        <w:t xml:space="preserve">ется в письменной форме почтой или в форме электронного документа, подписанного уполномоченным лицом с использованием усиленной квалифицированной электронной подписи, предусмотренной Федеральным законом от 6 апреля 2011 г. № 63-ФЗ «Об электронной подписи».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Если иное не предусмотрено законодательством Российской Федерации или контрактом, любая корреспонденция, связанная с контрактом, будет считаться надлежащим образом доставленной Сторон</w:t>
      </w:r>
      <w:r>
        <w:rPr>
          <w:rFonts w:ascii="Tinos" w:hAnsi="Tinos" w:eastAsia="Tinos" w:cs="Tinos"/>
          <w:sz w:val="22"/>
          <w:szCs w:val="22"/>
        </w:rPr>
        <w:t xml:space="preserve">ой другой Стороне и полученной ею,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Стороны, указанному в контракте, а так</w:t>
      </w:r>
      <w:r>
        <w:rPr>
          <w:rFonts w:ascii="Tinos" w:hAnsi="Tinos" w:eastAsia="Tinos" w:cs="Tinos"/>
          <w:sz w:val="22"/>
          <w:szCs w:val="22"/>
        </w:rPr>
        <w:t xml:space="preserve">же телеграммой, либо посредством факсимильной связи, либо по адресу электронной почты, либо с использованием иных средств связи и доставки корреспонденции, обеспечивающих фиксирование такого уведомления и получение Стороной, в адрес которой она направлена.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Корреспонденция считается доставленной Стороне также в случаях, если: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Сторона отказалась от получения корреспонденции и этот отказ зафиксирован организацией почтовой связи;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несмотря на почтовое уведомление Сторона не явилась за получением направленной корреспонденции, о чем организация почтовой связи уведомила отправителя;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1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корреспонденция не вручена в связи с отсутствием Стороны по указанному адресу, о чем организация почтовой связи уведомила отправителя.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10.6. Любые изменения и дополнения к настоящему контракту, не противоречащие законодательству Российской Федерации, оформляются дополнительными соглашениями к контракту в письменной форме.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709"/>
        <w:tabs>
          <w:tab w:val="left" w:pos="284" w:leader="none"/>
          <w:tab w:val="clear" w:pos="708" w:leader="none"/>
          <w:tab w:val="left" w:pos="709" w:leader="none"/>
        </w:tabs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10.7. Все разногласия и споры решаются в претензионном порядке, а при недостижении согласия - в Арбитражном суде Владимирской области.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10.8. Во всем, что не предусмотрено настоящим контрактом, Стороны руководствуются законодательством Российской Федерации.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709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10.9. Приложения, указанные в контракте, являются его неотъемлемой частью: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ind w:firstLine="540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hyperlink w:tooltip="#P518" w:anchor="P518" w:history="1">
        <w:r>
          <w:rPr>
            <w:rFonts w:ascii="Tinos" w:hAnsi="Tinos" w:eastAsia="Tinos" w:cs="Tinos"/>
            <w:color w:val="000000"/>
            <w:sz w:val="22"/>
            <w:szCs w:val="22"/>
            <w:u w:val="single"/>
          </w:rPr>
          <w:t xml:space="preserve">Приложение N 1</w:t>
        </w:r>
      </w:hyperlink>
      <w:r>
        <w:rPr>
          <w:rFonts w:ascii="Tinos" w:hAnsi="Tinos" w:eastAsia="Tinos" w:cs="Tinos"/>
          <w:color w:val="000000"/>
          <w:sz w:val="22"/>
          <w:szCs w:val="22"/>
        </w:rPr>
        <w:t xml:space="preserve"> - Спецификация;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firstLine="540"/>
        <w:widowControl w:val="off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hyperlink w:tooltip="#P434" w:anchor="P434" w:history="1">
        <w:r>
          <w:rPr>
            <w:rFonts w:ascii="Tinos" w:hAnsi="Tinos" w:eastAsia="Tinos" w:cs="Tinos"/>
            <w:color w:val="000000"/>
            <w:sz w:val="22"/>
            <w:szCs w:val="22"/>
            <w:u w:val="single"/>
          </w:rPr>
          <w:t xml:space="preserve">Приложение N 2</w:t>
        </w:r>
      </w:hyperlink>
      <w:r>
        <w:rPr>
          <w:rFonts w:ascii="Tinos" w:hAnsi="Tinos" w:eastAsia="Tinos" w:cs="Tinos"/>
          <w:color w:val="000000"/>
          <w:sz w:val="22"/>
          <w:szCs w:val="22"/>
        </w:rPr>
        <w:t xml:space="preserve"> - </w:t>
      </w:r>
      <w:r>
        <w:rPr>
          <w:rFonts w:ascii="Tinos" w:hAnsi="Tinos" w:eastAsia="Tinos" w:cs="Tinos"/>
          <w:sz w:val="22"/>
          <w:szCs w:val="22"/>
        </w:rPr>
        <w:t xml:space="preserve">Техническое задание.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widowControl w:val="off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eastAsia="Tinos" w:cs="Tinos"/>
          <w:b/>
          <w:bCs/>
          <w:sz w:val="22"/>
          <w:szCs w:val="22"/>
        </w:rPr>
        <w:t xml:space="preserve">10. Юридические адреса, банковские реквизиты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/>
          <w:bCs/>
          <w:sz w:val="22"/>
          <w:szCs w:val="22"/>
        </w:rPr>
        <w:t xml:space="preserve">и подписи сторон: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4750" w:type="pct"/>
        <w:jc w:val="center"/>
        <w:tblInd w:w="0" w:type="dxa"/>
        <w:tblLayout w:type="fixed"/>
        <w:tblCellMar>
          <w:left w:w="100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10"/>
        <w:gridCol w:w="4848"/>
      </w:tblGrid>
      <w:tr>
        <w:tblPrEx/>
        <w:trPr/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4710" w:type="dxa"/>
            <w:textDirection w:val="lrTb"/>
            <w:noWrap w:val="false"/>
          </w:tcPr>
          <w:p>
            <w:pPr>
              <w:pStyle w:val="871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4848" w:type="dxa"/>
            <w:textDirection w:val="lrTb"/>
            <w:noWrap w:val="false"/>
          </w:tcPr>
          <w:p>
            <w:pPr>
              <w:pStyle w:val="871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4" w:space="0"/>
              <w:right w:val="single" w:color="000001" w:sz="6" w:space="0"/>
            </w:tcBorders>
            <w:tcW w:w="4710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:u w:val="single"/>
                <w:shd w:val="clear" w:color="auto" w:fill="auto"/>
                <w:lang w:eastAsia="ru-RU"/>
                <w14:ligatures w14:val="none"/>
              </w:rPr>
              <w:t xml:space="preserve">ГКУ ВО «ЦБДД ВО»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Юридический адрес: 600006, г. Владимир, ул. Вокзальная, д.1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Телефон:(4922) 377-355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Электронная почта: bdd33@yandex.ru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ОГРН:1183328014792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ИНН:3329094872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КПП:332901001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  <w14:ligatures w14:val="none"/>
              </w:rPr>
              <w:t xml:space="preserve">ОКПО:34549571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ind w:left="0" w:firstLine="0"/>
              <w:jc w:val="both"/>
              <w:spacing w:before="0" w:after="0" w:line="283" w:lineRule="exact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ОКЦ № 1 ВВГУ Банка России // УФК по Владимирской области,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ind w:left="0" w:firstLine="0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г. Владимир;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ind w:left="0" w:firstLine="0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Р/с: 03221643170000002800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ind w:left="0" w:firstLine="0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Л/с: 03282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val="en-US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40880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ind w:left="0" w:firstLine="0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ЕКС: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</w:rPr>
              <w:t xml:space="preserve">40102810645370000111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ind w:left="0" w:firstLine="0"/>
              <w:jc w:val="both"/>
              <w:spacing w:before="0" w:after="0" w:line="283" w:lineRule="exac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 xml:space="preserve">БИК: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  <w:lang w:eastAsia="ru-RU"/>
              </w:rPr>
              <w:t xml:space="preserve">042202111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1" w:sz="6" w:space="0"/>
              <w:left w:val="single" w:color="000001" w:sz="6" w:space="0"/>
              <w:bottom w:val="single" w:color="000001" w:sz="4" w:space="0"/>
              <w:right w:val="single" w:color="000001" w:sz="6" w:space="0"/>
            </w:tcBorders>
            <w:tcW w:w="4848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71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4850" w:type="pct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47"/>
        <w:gridCol w:w="5013"/>
      </w:tblGrid>
      <w:tr>
        <w:tblPrEx/>
        <w:trPr/>
        <w:tc>
          <w:tcPr>
            <w:shd w:val="clear" w:color="auto" w:fill="auto"/>
            <w:tcW w:w="4747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W w:w="5013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4747" w:type="dxa"/>
            <w:textDirection w:val="lrTb"/>
            <w:noWrap w:val="false"/>
          </w:tcPr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single"/>
              </w:rPr>
              <w:t xml:space="preserve">Директор ГКУ ВО «ЦБДД ВО»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singl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single"/>
              </w:rPr>
            </w:r>
            <w:r>
              <w:rPr>
                <w:rFonts w:ascii="Tinos" w:hAnsi="Tinos" w:cs="Tinos"/>
                <w:sz w:val="22"/>
                <w:szCs w:val="22"/>
                <w:u w:val="single"/>
              </w:rPr>
            </w:r>
            <w:r>
              <w:rPr>
                <w:rFonts w:ascii="Tinos" w:hAnsi="Tinos" w:cs="Tinos"/>
                <w:sz w:val="22"/>
                <w:szCs w:val="22"/>
                <w:u w:val="singl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______________________/Е.О. Булатов /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W w:w="5013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____________________/____________________/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</w:rPr>
            </w:pPr>
            <w:r/>
            <w:bookmarkStart w:id="6" w:name="_Hlk151970717"/>
            <w:r>
              <w:rPr>
                <w:rFonts w:ascii="Tinos" w:hAnsi="Tinos" w:eastAsia="Tinos" w:cs="Tinos"/>
                <w:sz w:val="22"/>
                <w:szCs w:val="22"/>
              </w:rPr>
            </w:r>
            <w:bookmarkEnd w:id="6"/>
            <w:r>
              <w:rPr>
                <w:rFonts w:ascii="Tinos" w:hAnsi="Tinos" w:eastAsia="Tinos" w:cs="Tinos"/>
                <w:sz w:val="22"/>
                <w:szCs w:val="22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4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shd w:val="nil" w:color="auto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br w:type="page" w:clear="all"/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jc w:val="right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Приложение № 1 к Контракту № </w:t>
      </w:r>
      <w:r>
        <w:rPr>
          <w:rFonts w:ascii="Tinos" w:hAnsi="Tinos" w:eastAsia="Tinos" w:cs="Tinos"/>
          <w:sz w:val="22"/>
          <w:szCs w:val="22"/>
        </w:rPr>
        <w:t xml:space="preserve">___________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jc w:val="right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от «___</w:t>
      </w:r>
      <w:r>
        <w:rPr>
          <w:rFonts w:ascii="Tinos" w:hAnsi="Tinos" w:eastAsia="Tinos" w:cs="Tinos"/>
          <w:sz w:val="22"/>
          <w:szCs w:val="22"/>
        </w:rPr>
        <w:t xml:space="preserve">» _______________</w:t>
      </w:r>
      <w:r>
        <w:rPr>
          <w:rFonts w:ascii="Tinos" w:hAnsi="Tinos" w:eastAsia="Tinos" w:cs="Tinos"/>
          <w:sz w:val="22"/>
          <w:szCs w:val="22"/>
        </w:rPr>
        <w:t xml:space="preserve"> </w:t>
      </w:r>
      <w:r>
        <w:rPr>
          <w:rFonts w:ascii="Tinos" w:hAnsi="Tinos" w:eastAsia="Tinos" w:cs="Tinos"/>
          <w:sz w:val="22"/>
          <w:szCs w:val="22"/>
        </w:rPr>
        <w:t xml:space="preserve">2026 года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jc w:val="right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jc w:val="center"/>
        <w:rPr>
          <w:rFonts w:ascii="Tinos" w:hAnsi="Tinos" w:cs="Tinos"/>
          <w:b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bookmarkStart w:id="8" w:name="P434"/>
      <w:r>
        <w:rPr>
          <w:rFonts w:ascii="Tinos" w:hAnsi="Tinos" w:eastAsia="Tinos" w:cs="Tinos"/>
          <w:sz w:val="22"/>
          <w:szCs w:val="22"/>
        </w:rPr>
      </w:r>
      <w:bookmarkEnd w:id="8"/>
      <w:r>
        <w:rPr>
          <w:rFonts w:ascii="Tinos" w:hAnsi="Tinos" w:cs="Tinos"/>
          <w:b/>
          <w:sz w:val="22"/>
          <w:szCs w:val="22"/>
        </w:rPr>
      </w:r>
      <w:r>
        <w:rPr>
          <w:rFonts w:ascii="Tinos" w:hAnsi="Tinos" w:cs="Tinos"/>
          <w:b/>
          <w:sz w:val="22"/>
          <w:szCs w:val="22"/>
        </w:rPr>
      </w:r>
    </w:p>
    <w:p>
      <w:pPr>
        <w:pStyle w:val="967"/>
        <w:jc w:val="center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b/>
          <w:sz w:val="22"/>
          <w:szCs w:val="22"/>
        </w:rPr>
        <w:t xml:space="preserve">СПЕЦИФИКАЦИЯ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9585" w:type="dxa"/>
        <w:tblInd w:w="116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3"/>
        <w:gridCol w:w="3822"/>
        <w:gridCol w:w="1281"/>
        <w:gridCol w:w="994"/>
        <w:gridCol w:w="1411"/>
        <w:gridCol w:w="1564"/>
      </w:tblGrid>
      <w:tr>
        <w:tblPrEx/>
        <w:trPr>
          <w:trHeight w:val="293"/>
        </w:trPr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13" w:type="dxa"/>
            <w:vAlign w:val="center"/>
            <w:vMerge w:val="restart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№ 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п/п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2" w:type="dxa"/>
            <w:vAlign w:val="center"/>
            <w:vMerge w:val="restart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Наименование услуги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81" w:type="dxa"/>
            <w:vAlign w:val="center"/>
            <w:vMerge w:val="restart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Единица измерения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4" w:type="dxa"/>
            <w:vAlign w:val="center"/>
            <w:vMerge w:val="restart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Объем Услуги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1" w:type="dxa"/>
            <w:vAlign w:val="center"/>
            <w:vMerge w:val="restart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Цена единицы Услуги (руб. коп.)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4" w:type="dxa"/>
            <w:vAlign w:val="center"/>
            <w:vMerge w:val="restart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b/>
                <w:bCs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Сумма, (руб. коп.)</w:t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  <w:r>
              <w:rPr>
                <w:rFonts w:ascii="Tinos" w:hAnsi="Tinos" w:cs="Tinos"/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293"/>
        </w:trPr>
        <w:tc>
          <w:tcPr>
            <w:gridSpan w:val="6"/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585" w:type="dxa"/>
            <w:textDirection w:val="lrTb"/>
            <w:noWrap w:val="false"/>
          </w:tcPr>
          <w:p>
            <w:pPr>
              <w:pStyle w:val="967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Период оказания услуг с 01.11.2026 по 31.10.2027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>
          <w:trHeight w:val="2415"/>
        </w:trPr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13" w:type="dxa"/>
            <w:textDirection w:val="lrTb"/>
            <w:noWrap w:val="false"/>
          </w:tcPr>
          <w:p>
            <w:pPr>
              <w:pStyle w:val="967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2" w:type="dxa"/>
            <w:textDirection w:val="lrTb"/>
            <w:noWrap w:val="false"/>
          </w:tcPr>
          <w:p>
            <w:pPr>
              <w:pStyle w:val="96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Оказание услуг по обеспечению технической охраны АПВГК, включая техническое обслуживание технических средств охраны АПВГК на км 8+508 автомобильной дороги </w:t>
            </w: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общего пользования межмуниципального значения «Струнино-Площево»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81" w:type="dxa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месяц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4" w:type="dxa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2130"/>
        </w:trPr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13" w:type="dxa"/>
            <w:textDirection w:val="lrTb"/>
            <w:noWrap w:val="false"/>
          </w:tcPr>
          <w:p>
            <w:pPr>
              <w:pStyle w:val="967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2" w:type="dxa"/>
            <w:textDirection w:val="lrTb"/>
            <w:noWrap w:val="false"/>
          </w:tcPr>
          <w:p>
            <w:pPr>
              <w:pStyle w:val="96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Оказание услуг по обеспечению технической охраны АПВГК, включая техническое обслуживание технических средств охраны АПВГК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eastAsia="ar-SA"/>
              </w:rPr>
              <w:t xml:space="preserve">км127+600 автомобильной дороги «Колокша-Кольчугино-Александров-Верхние Дворики»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81" w:type="dxa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месяц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4" w:type="dxa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707"/>
        </w:trPr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13" w:type="dxa"/>
            <w:textDirection w:val="lrTb"/>
            <w:noWrap w:val="false"/>
          </w:tcPr>
          <w:p>
            <w:pPr>
              <w:pStyle w:val="967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822" w:type="dxa"/>
            <w:textDirection w:val="lrTb"/>
            <w:noWrap w:val="false"/>
          </w:tcPr>
          <w:p>
            <w:pPr>
              <w:pStyle w:val="96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Оказание услуг по обеспечению технической охраны АПВГК, включая техническое обслуживание технических средств охраны АПВГК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eastAsia="ar-SA"/>
              </w:rPr>
              <w:t xml:space="preserve">км3+387 автомобильной дороги «Дубки-Киржач»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81" w:type="dxa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месяц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94" w:type="dxa"/>
            <w:textDirection w:val="lrTb"/>
            <w:noWrap w:val="false"/>
          </w:tcPr>
          <w:p>
            <w:pPr>
              <w:pStyle w:val="967"/>
              <w:jc w:val="center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6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334" w:type="dxa"/>
            <w:textDirection w:val="lrTb"/>
            <w:noWrap w:val="false"/>
          </w:tcPr>
          <w:p>
            <w:pPr>
              <w:pStyle w:val="967"/>
              <w:jc w:val="both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Итого: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5251" w:type="dxa"/>
            <w:textDirection w:val="lrTb"/>
            <w:noWrap w:val="false"/>
          </w:tcPr>
          <w:p>
            <w:pPr>
              <w:pStyle w:val="967"/>
              <w:jc w:val="right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7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7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9902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37"/>
        <w:gridCol w:w="4829"/>
        <w:gridCol w:w="236"/>
      </w:tblGrid>
      <w:tr>
        <w:tblPrEx/>
        <w:trPr/>
        <w:tc>
          <w:tcPr>
            <w:shd w:val="clear" w:color="auto" w:fill="auto"/>
            <w:tcW w:w="4837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W w:w="4829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4837" w:type="dxa"/>
            <w:textDirection w:val="lrTb"/>
            <w:noWrap w:val="false"/>
          </w:tcPr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Директор ГКУ ВО «ЦБДД ВО»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______________________/Е.О. Булатов 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auto" w:fill="auto"/>
            <w:tcW w:w="4829" w:type="dxa"/>
            <w:textDirection w:val="lrTb"/>
            <w:noWrap w:val="false"/>
          </w:tcPr>
          <w:p>
            <w:pPr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____________________/____________/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 </w:t>
            </w: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auto" w:fill="auto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bookmarkStart w:id="10" w:name="_Hlk195266905"/>
            <w:r>
              <w:rPr>
                <w:rFonts w:ascii="Tinos" w:hAnsi="Tinos" w:eastAsia="Tinos" w:cs="Tinos"/>
                <w:sz w:val="22"/>
                <w:szCs w:val="22"/>
              </w:rPr>
            </w:r>
            <w:bookmarkEnd w:id="10"/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6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6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6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6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shd w:val="nil" w:color="auto"/>
        <w:rPr>
          <w:rFonts w:ascii="Tinos" w:hAnsi="Tinos" w:cs="Tinos"/>
          <w:sz w:val="22"/>
          <w:szCs w:val="22"/>
        </w:rPr>
      </w:pPr>
      <w:r>
        <w:rPr>
          <w:rFonts w:ascii="Tinos" w:hAnsi="Tinos" w:cs="Tinos"/>
          <w:sz w:val="22"/>
          <w:szCs w:val="22"/>
        </w:rPr>
        <w:br w:type="page" w:clear="all"/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6"/>
        <w:jc w:val="both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6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Приложение № 2 к контракту № </w:t>
      </w:r>
      <w:r>
        <w:rPr>
          <w:rFonts w:ascii="Tinos" w:hAnsi="Tinos" w:eastAsia="Tinos" w:cs="Tinos"/>
          <w:sz w:val="22"/>
          <w:szCs w:val="22"/>
        </w:rPr>
        <w:t xml:space="preserve">__________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6"/>
        <w:rPr>
          <w:rFonts w:ascii="Tinos" w:hAnsi="Tinos" w:cs="Tinos"/>
          <w:sz w:val="22"/>
          <w:szCs w:val="22"/>
        </w:rPr>
      </w:pPr>
      <w:r>
        <w:rPr>
          <w:rFonts w:ascii="Tinos" w:hAnsi="Tinos" w:eastAsia="Tinos" w:cs="Tinos"/>
          <w:sz w:val="22"/>
          <w:szCs w:val="22"/>
        </w:rPr>
        <w:t xml:space="preserve">от «____</w:t>
      </w:r>
      <w:r>
        <w:rPr>
          <w:rFonts w:ascii="Tinos" w:hAnsi="Tinos" w:eastAsia="Tinos" w:cs="Tinos"/>
          <w:sz w:val="22"/>
          <w:szCs w:val="22"/>
        </w:rPr>
        <w:t xml:space="preserve">» ___________________</w:t>
      </w:r>
      <w:r>
        <w:rPr>
          <w:rFonts w:ascii="Tinos" w:hAnsi="Tinos" w:eastAsia="Tinos" w:cs="Tinos"/>
          <w:sz w:val="22"/>
          <w:szCs w:val="22"/>
        </w:rPr>
        <w:t xml:space="preserve"> </w:t>
      </w:r>
      <w:r>
        <w:rPr>
          <w:rFonts w:ascii="Tinos" w:hAnsi="Tinos" w:eastAsia="Tinos" w:cs="Tinos"/>
          <w:sz w:val="22"/>
          <w:szCs w:val="22"/>
        </w:rPr>
        <w:t xml:space="preserve">2026 год</w:t>
      </w:r>
      <w:r>
        <w:rPr>
          <w:rFonts w:ascii="Tinos" w:hAnsi="Tinos" w:eastAsia="Tinos" w:cs="Tinos"/>
          <w:sz w:val="22"/>
          <w:szCs w:val="22"/>
        </w:rPr>
        <w:t xml:space="preserve">а</w:t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71"/>
        <w:ind w:right="4"/>
        <w:jc w:val="center"/>
        <w:rPr>
          <w:rFonts w:ascii="Tinos" w:hAnsi="Tinos" w:cs="Tinos"/>
          <w:bCs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  <w:lang w:eastAsia="ar-SA"/>
        </w:rPr>
      </w:r>
      <w:r>
        <w:rPr>
          <w:rFonts w:ascii="Tinos" w:hAnsi="Tinos" w:cs="Tinos"/>
          <w:bCs/>
          <w:sz w:val="22"/>
          <w:szCs w:val="22"/>
        </w:rPr>
      </w:r>
      <w:r>
        <w:rPr>
          <w:rFonts w:ascii="Tinos" w:hAnsi="Tinos" w:cs="Tinos"/>
          <w:bCs/>
          <w:sz w:val="22"/>
          <w:szCs w:val="22"/>
        </w:rPr>
      </w:r>
    </w:p>
    <w:p>
      <w:pPr>
        <w:pStyle w:val="871"/>
        <w:ind w:right="4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Техническое задание</w:t>
      </w: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  <w:b/>
          <w:bCs/>
          <w:sz w:val="24"/>
          <w:szCs w:val="24"/>
        </w:rPr>
      </w:r>
    </w:p>
    <w:p>
      <w:pPr>
        <w:pStyle w:val="871"/>
        <w:ind w:right="4" w:firstLine="709"/>
        <w:jc w:val="center"/>
        <w:rPr>
          <w:rFonts w:ascii="PT Astra Serif" w:hAnsi="PT Astra Serif" w:eastAsia="Times New Roman"/>
          <w:b/>
          <w:bCs/>
          <w:sz w:val="24"/>
          <w:szCs w:val="24"/>
          <w:lang w:eastAsia="ar-SA"/>
        </w:rPr>
      </w:pP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на оказание услуг по обеспечению технической охраны АПВГК</w:t>
      </w:r>
      <w:bookmarkStart w:id="0" w:name="undefined"/>
      <w:r/>
      <w:bookmarkEnd w:id="0"/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, </w:t>
      </w: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</w: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</w:r>
    </w:p>
    <w:p>
      <w:pPr>
        <w:pStyle w:val="871"/>
        <w:ind w:right="4" w:firstLine="709"/>
        <w:jc w:val="center"/>
        <w:rPr>
          <w:rFonts w:ascii="PT Astra Serif" w:hAnsi="PT Astra Serif" w:eastAsia="Times New Roman"/>
          <w:b/>
          <w:bCs/>
          <w:sz w:val="24"/>
          <w:szCs w:val="24"/>
          <w:lang w:eastAsia="ar-SA"/>
        </w:rPr>
      </w:pP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включая техническое обслуживание </w:t>
      </w: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технических средств охраны</w:t>
      </w: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</w: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</w:r>
    </w:p>
    <w:p>
      <w:pPr>
        <w:pStyle w:val="871"/>
        <w:ind w:right="-1"/>
        <w:jc w:val="both"/>
        <w:widowControl w:val="off"/>
        <w:rPr>
          <w:rFonts w:ascii="PT Astra Serif" w:hAnsi="PT Astra Serif" w:eastAsia="Times New Roman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</w:r>
      <w:r>
        <w:rPr>
          <w:rFonts w:ascii="PT Astra Serif" w:hAnsi="PT Astra Serif" w:eastAsia="Times New Roman"/>
          <w:sz w:val="24"/>
          <w:szCs w:val="24"/>
        </w:rPr>
      </w:r>
      <w:r>
        <w:rPr>
          <w:rFonts w:ascii="PT Astra Serif" w:hAnsi="PT Astra Serif" w:eastAsia="Times New Roman"/>
          <w:sz w:val="24"/>
          <w:szCs w:val="24"/>
        </w:rPr>
      </w:r>
    </w:p>
    <w:p>
      <w:pPr>
        <w:pStyle w:val="871"/>
        <w:ind w:right="-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Для удобства работы с документом в тексте введены следующие сокращения: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tbl>
      <w:tblPr>
        <w:tblW w:w="9805" w:type="dxa"/>
        <w:tblInd w:w="-14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095"/>
        <w:gridCol w:w="7710"/>
      </w:tblGrid>
      <w:tr>
        <w:tblPrEx/>
        <w:trPr>
          <w:trHeight w:val="3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Сокращение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jc w:val="center"/>
              <w:spacing w:before="120" w:after="12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Расшифровка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ТЗ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Техническое задание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АПВГК,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Комплекс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Автоматизированный пункт весогабаритного контроля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3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TC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Транспортное средство.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ГРЗ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Государственный регистрационный знак TC.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ТПИ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Табло переменной информации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Зона контроля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ограниченный участок дороги, на который направлены обзорные и фиксирующие камеры автоматизированного поста весового и габаритного контроля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Заказчик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Лицо, заинтересованное в оказании Исполнителем услуг или приобретении у продавца какого-либо продукта (в широком смысле)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Исполнитель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Лицо (физическое или юридическое), подрядившееся на свой страх и риск оказать для Заказчика определенную услугу к оговоренному сроку за определенную оплату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ИБП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Источник бесперебойного питания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CBK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Система автоматического весогабаритного контроля 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eastAsia="ar-SA"/>
              </w:rPr>
              <w:t xml:space="preserve">СВК-2-РВС производства ВИК «Тензо-М» (зав. 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val="en-US" w:eastAsia="ar-SA"/>
              </w:rPr>
              <w:t xml:space="preserve">№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eastAsia="ar-SA"/>
              </w:rPr>
              <w:t xml:space="preserve">70512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val="en-US" w:eastAsia="ar-SA"/>
              </w:rPr>
              <w:t xml:space="preserve">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CM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Силоприемный модуль. Основной элемент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CBK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MПC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Датчик Модуля определения числа колес на оси ТС и скатности колес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Индикатор обнаружения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Индуктивные петли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8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MBP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Модуль фотофиксации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TC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и распознавания ГРЗ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TC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 Состоит из одной или нескольких видеокамер, а также инфракрасных прожекторов.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3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 xml:space="preserve">МИГ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Модуль измерения габаритов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871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position w:val="-13"/>
                <w:sz w:val="24"/>
                <w:szCs w:val="24"/>
                <w:lang w:val="en-US"/>
              </w:rPr>
              <w:t xml:space="preserve">ШЭ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Шкаф с электронной частью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CBK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871"/>
              <w:ind w:left="113" w:right="113"/>
              <w:jc w:val="both"/>
              <w:spacing w:before="120" w:after="12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Установлен в антивандальном корпусе.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Контрольно-приемные устройства (КПУ)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комплекс приемно-передающих устройств, осуществляющий передачу сигнальной информации от объекта заказчика до ПЦН охранного предприятия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Комплекс Т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ехнических средств охраны (ТСО)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Системы видеонаблюдения и безопасности,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набор охранных и пожарных датчиков/извещателей, соединенных в определенной последовательности (или в комбинации) шлейфами и подключенные к контрольно-приемному устройству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Группа быстрого реагирования(ГБР)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мобильное подразделение Исполнителя, выполняющее задачи по оперативному реагированию на сообщения о преступлениях, происшествиях и административных правонарушениях на объектах Заказчика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Пульт централизованного наблюдения (ПЦН)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совокупность технических средств централизованного наблюдения Исполнителя за объектами Заказчика, оснащенных техническими средствами охраны (ТСО)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Охранная сигнализация (ОС)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комплекс охранной сигнализации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68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2095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Техническое обслуживание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10" w:type="dxa"/>
            <w:textDirection w:val="lrTb"/>
            <w:noWrap w:val="false"/>
          </w:tcPr>
          <w:p>
            <w:pPr>
              <w:pStyle w:val="982"/>
              <w:ind w:left="113" w:right="283" w:firstLine="0"/>
              <w:jc w:val="both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Комплекс услуг/работ по поддержанию надлежащего технического состояния, оценке технического состояния, проведению планового и внепланового технического обслуживания </w:t>
            </w: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систем видеонаблюдения и безопасности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871"/>
        <w:ind w:right="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ab/>
        <w:t xml:space="preserve">1. Заказчик: ГКУ ВО «ЦБДД ВО».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2. Место оказания услуг: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1. АПВГК на км 8+508 автомобильной дороги общего пользования межмуниципального значения «Струнино-Площево» в Александровском </w:t>
      </w: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муниципальном округе</w:t>
      </w: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 Владимирской области,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2. АПВГК на км 127+600 автомобильной дороги «Колокша-Кольчугино-Александров-Верхние Дворики» в </w:t>
      </w: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муниципальном округе</w:t>
      </w: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 Владимирской области,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3. АПВГК на км 3+387 автомобильной дороги «Дубки-Киржач» в Киржачском </w:t>
      </w: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муниципальном округе</w:t>
      </w:r>
      <w:r>
        <w:rPr>
          <w:rFonts w:ascii="PT Astra Serif" w:hAnsi="PT Astra Serif" w:eastAsia="Times New Roman"/>
          <w:bCs/>
          <w:sz w:val="24"/>
          <w:szCs w:val="24"/>
          <w:lang w:eastAsia="ar-SA"/>
        </w:rPr>
        <w:t xml:space="preserve"> Владимирской области 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3. Срок действия контракта и срок оказания услуг: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Срок действия контракта до 31.12.202</w:t>
      </w:r>
      <w:r>
        <w:rPr>
          <w:rFonts w:ascii="PT Astra Serif" w:hAnsi="PT Astra Serif"/>
          <w:sz w:val="24"/>
          <w:szCs w:val="24"/>
        </w:rPr>
        <w:t xml:space="preserve">7</w:t>
      </w:r>
      <w:r>
        <w:rPr>
          <w:rFonts w:ascii="PT Astra Serif" w:hAnsi="PT Astra Serif"/>
          <w:sz w:val="24"/>
          <w:szCs w:val="24"/>
        </w:rPr>
        <w:t xml:space="preserve"> включительно (включает приемку и оплату оказанных услуг).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98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 xml:space="preserve">Срок оказания услуг согласно контракта с 01.11.202</w:t>
      </w:r>
      <w:r>
        <w:rPr>
          <w:rFonts w:ascii="PT Astra Serif" w:hAnsi="PT Astra Serif"/>
          <w:sz w:val="24"/>
          <w:szCs w:val="24"/>
        </w:rPr>
        <w:t xml:space="preserve">6 </w:t>
      </w:r>
      <w:r>
        <w:rPr>
          <w:rFonts w:ascii="PT Astra Serif" w:hAnsi="PT Astra Serif"/>
          <w:sz w:val="24"/>
          <w:szCs w:val="24"/>
        </w:rPr>
        <w:t xml:space="preserve"> до 31.10.202</w:t>
      </w:r>
      <w:r>
        <w:rPr>
          <w:rFonts w:ascii="PT Astra Serif" w:hAnsi="PT Astra Serif"/>
          <w:sz w:val="24"/>
          <w:szCs w:val="24"/>
        </w:rPr>
        <w:t xml:space="preserve">7</w:t>
      </w:r>
      <w:r>
        <w:rPr>
          <w:rFonts w:ascii="PT Astra Serif" w:hAnsi="PT Astra Serif"/>
          <w:sz w:val="24"/>
          <w:szCs w:val="24"/>
        </w:rPr>
        <w:t xml:space="preserve"> включительно.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98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 xml:space="preserve">Услуги оказываются Исполнителем по заявкам Заказчика в течение указанного срока оказания услуг.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firstLine="680"/>
        <w:jc w:val="both"/>
        <w:spacing w:before="120" w:after="120" w:line="276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bCs/>
          <w:caps/>
          <w:sz w:val="24"/>
          <w:szCs w:val="24"/>
          <w:lang w:eastAsia="ar-SA"/>
        </w:rPr>
        <w:tab/>
      </w:r>
      <w:r>
        <w:rPr>
          <w:rFonts w:ascii="PT Astra Serif" w:hAnsi="PT Astra Serif" w:eastAsia="Times New Roman"/>
          <w:b/>
          <w:bCs/>
          <w:caps/>
          <w:sz w:val="24"/>
          <w:szCs w:val="24"/>
          <w:lang w:eastAsia="ar-SA"/>
        </w:rPr>
        <w:t xml:space="preserve">4. </w:t>
      </w:r>
      <w:r>
        <w:rPr>
          <w:rFonts w:ascii="PT Astra Serif" w:hAnsi="PT Astra Serif" w:eastAsia="Times New Roman"/>
          <w:b/>
          <w:bCs/>
          <w:sz w:val="24"/>
          <w:szCs w:val="24"/>
          <w:lang w:eastAsia="ar-SA"/>
        </w:rPr>
        <w:t xml:space="preserve">Назначение и состав автоматизированного пункта весогабаритного контроля транспортных средств: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firstLine="708"/>
        <w:jc w:val="both"/>
        <w:widowControl w:val="off"/>
      </w:pPr>
      <w:r>
        <w:rPr>
          <w:rFonts w:ascii="Times New Roman" w:hAnsi="Times New Roman" w:eastAsia="Times New Roman"/>
          <w:sz w:val="24"/>
          <w:szCs w:val="24"/>
        </w:rPr>
        <w:t xml:space="preserve">Под автоматизированным 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пунктом весогабаритного контроля транспортных средств</w:t>
      </w:r>
      <w:r>
        <w:rPr>
          <w:rFonts w:ascii="Times New Roman" w:hAnsi="Times New Roman" w:eastAsia="Times New Roman"/>
          <w:sz w:val="24"/>
          <w:szCs w:val="24"/>
        </w:rPr>
        <w:t xml:space="preserve"> (далее Компл</w:t>
      </w:r>
      <w:r>
        <w:rPr>
          <w:rFonts w:ascii="PT Astra Serif" w:hAnsi="PT Astra Serif" w:eastAsia="Times New Roman"/>
          <w:sz w:val="24"/>
          <w:szCs w:val="24"/>
        </w:rPr>
        <w:t xml:space="preserve">екс, АПВГК) понимается совокупность стационарно установленного оборудования и програ</w:t>
      </w:r>
      <w:r>
        <w:rPr>
          <w:rFonts w:ascii="PT Astra Serif" w:hAnsi="PT Astra Serif" w:eastAsia="Times New Roman"/>
          <w:sz w:val="24"/>
          <w:szCs w:val="24"/>
        </w:rPr>
        <w:t xml:space="preserve">ммных средств, которые обеспечивают измерение весогабаритных параметров транспортного средства (далее - ТС) без снижения скорости движения транспортных средств, установленной на данном участке автомобильной дороги общего пользования регионального значения.</w:t>
      </w:r>
      <w:r/>
    </w:p>
    <w:p>
      <w:pPr>
        <w:pStyle w:val="871"/>
        <w:ind w:firstLine="708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Комплекс предназначен для решения следующих задач: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Обеспечение транспортного контроля </w:t>
      </w:r>
      <w:r>
        <w:rPr>
          <w:rFonts w:ascii="PT Astra Serif" w:hAnsi="PT Astra Serif" w:eastAsia="Times New Roman"/>
          <w:bCs/>
          <w:sz w:val="24"/>
          <w:szCs w:val="24"/>
        </w:rPr>
        <w:t xml:space="preserve">всех полос движения, в каждом из направлений</w:t>
      </w:r>
      <w:r>
        <w:rPr>
          <w:rFonts w:ascii="PT Astra Serif" w:hAnsi="PT Astra Serif" w:eastAsia="Times New Roman"/>
          <w:sz w:val="24"/>
          <w:szCs w:val="24"/>
        </w:rPr>
        <w:t xml:space="preserve">;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Повышение качества контроля проезда транспортных средств, перевозящих тяжеловесные и крупногабаритные грузы;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Обеспечения сохранности автомобильных дорог общего пользования путем: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недопущения несанкционированного проезда транспортных средств, с превышением предельно допустимых норм весогабаритных параметров транспортных средств, установленных на территории РФ;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принятия необходимых мер по поддержанию эксплуатационных характеристик автомобильных дорог, на основе обобщения и анализа полученных данных о суммарной нагрузке, создаваемой транспортными средствами в процессе жизненного цикла автомобильных дорог;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Увеличения срока службы дорожного покрытия и искусственных сооружений;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sz w:val="24"/>
          <w:szCs w:val="24"/>
        </w:rPr>
        <w:t xml:space="preserve">- Повышения уровня безопасности дорожного движения.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4.1. </w:t>
      </w:r>
      <w:r>
        <w:rPr>
          <w:rFonts w:ascii="PT Astra Serif" w:hAnsi="PT Astra Serif"/>
          <w:b/>
          <w:bCs/>
          <w:sz w:val="24"/>
          <w:szCs w:val="24"/>
        </w:rPr>
        <w:t xml:space="preserve">В состав</w:t>
      </w:r>
      <w:r>
        <w:rPr>
          <w:rFonts w:ascii="PT Astra Serif" w:hAnsi="PT Astra Serif" w:eastAsia="Times New Roman" w:cs="Arial"/>
          <w:b/>
          <w:bCs/>
          <w:sz w:val="24"/>
          <w:szCs w:val="24"/>
        </w:rPr>
        <w:t xml:space="preserve"> АПВГК, расположенно</w:t>
      </w:r>
      <w:r>
        <w:rPr>
          <w:rFonts w:ascii="PT Astra Serif" w:hAnsi="PT Astra Serif" w:eastAsia="Times New Roman" w:cs="Arial"/>
          <w:b/>
          <w:bCs/>
          <w:sz w:val="24"/>
          <w:szCs w:val="24"/>
        </w:rPr>
        <w:t xml:space="preserve">го</w:t>
      </w:r>
      <w:r>
        <w:rPr>
          <w:rFonts w:ascii="PT Astra Serif" w:hAnsi="PT Astra Serif" w:eastAsia="Times New Roman" w:cs="Arial"/>
          <w:b/>
          <w:bCs/>
          <w:sz w:val="24"/>
          <w:szCs w:val="24"/>
        </w:rPr>
        <w:t xml:space="preserve"> на км 8+508 автомобильной дороги «Струнино-Площево», </w:t>
      </w:r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входит следующее оборудование, подлежащее охране:</w:t>
      </w:r>
      <w:r>
        <w:rPr>
          <w:rFonts w:ascii="PT Astra Serif" w:hAnsi="PT Astra Serif" w:eastAsia="Times New Roman" w:cs="Arial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  <w:b/>
          <w:bCs/>
          <w:sz w:val="24"/>
          <w:szCs w:val="24"/>
        </w:rPr>
      </w:r>
    </w:p>
    <w:p>
      <w:pPr>
        <w:pStyle w:val="982"/>
        <w:ind w:right="424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 w:cs="Arial"/>
          <w:b/>
          <w:sz w:val="24"/>
          <w:szCs w:val="24"/>
        </w:rPr>
        <w:t xml:space="preserve">Таблица 1.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tbl>
      <w:tblPr>
        <w:tblW w:w="10242" w:type="dxa"/>
        <w:tblInd w:w="6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81"/>
        <w:gridCol w:w="4594"/>
        <w:gridCol w:w="1095"/>
        <w:gridCol w:w="367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sz w:val="24"/>
                <w:szCs w:val="24"/>
                <w:lang w:eastAsia="zh-CN"/>
              </w:rPr>
              <w:t xml:space="preserve">№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PT Astra Serif" w:hAnsi="PT Astra Serif" w:eastAsia="NSimSun" w:cs="Times New Roman"/>
                <w:b/>
                <w:sz w:val="24"/>
                <w:szCs w:val="24"/>
                <w:lang w:eastAsia="zh-CN"/>
              </w:rPr>
              <w:t xml:space="preserve">п/п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sz w:val="24"/>
                <w:szCs w:val="24"/>
                <w:lang w:eastAsia="zh-CN"/>
              </w:rPr>
              <w:t xml:space="preserve">Наименование комплекта/элемента/системы/подсистемы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sz w:val="24"/>
                <w:szCs w:val="24"/>
                <w:lang w:eastAsia="zh-CN"/>
              </w:rPr>
              <w:t xml:space="preserve">Кол-во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sz w:val="24"/>
                <w:szCs w:val="24"/>
                <w:lang w:eastAsia="zh-CN"/>
              </w:rPr>
              <w:t xml:space="preserve">Место расположение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61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Система дорожная весового и габаритного контроля «CBK» СВК-2-Р(М)ВС № 70512, в составе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Силоприёмный модуль со встроенными тензодатчиками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дорожное покрытие в зоне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1.2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Датчики модуля позиционирования и определения числа колес (скатов) на оси TC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дорожное покрытие в зоне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1.3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Индуктивные петли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дорожное покрытие в зоне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2.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Liberation Serif;Times New Roman"/>
                <w:sz w:val="24"/>
                <w:szCs w:val="24"/>
                <w:lang w:eastAsia="zh-CN"/>
              </w:rPr>
              <w:t xml:space="preserve">Шкаф с электронной частью СВК в составе: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2.1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Liberation Serif;Times New Roman"/>
                <w:sz w:val="24"/>
                <w:szCs w:val="24"/>
                <w:lang w:eastAsia="zh-CN"/>
              </w:rPr>
              <w:t xml:space="preserve">Шкаф защитный антивандальный (внешний)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Liberation Serif;Times New Roman"/>
                <w:sz w:val="24"/>
                <w:szCs w:val="24"/>
                <w:lang w:eastAsia="zh-CN"/>
              </w:rPr>
              <w:t xml:space="preserve">Шкаф с электронной частью СВК дополнительный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Liberation Serif;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3.1.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Liberation Serif;Times New Roman"/>
                <w:sz w:val="24"/>
                <w:szCs w:val="24"/>
                <w:lang w:eastAsia="zh-CN"/>
              </w:rPr>
              <w:t xml:space="preserve">Шкаф защитный антивандальный малый (внешний)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Liberation Serif;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Оптический лазерный излучатель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Модуль измерения габаритных размеров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6.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6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Камеры фото и видеофиксации в составе: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6.1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Модуль фотофиксации и распознавания ГРЗ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6.1.1.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Комплекс аппаратно-программный «Вокорд Трафик М»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6.1.2.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Цветная видеокамера для получения обзорного изображения ТС HIKVISION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6.1.3.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Моноблок Microcyclops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PT Astra Serif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6.2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Видеокамера для наблюдения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7.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Табло переменной информации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8.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Маршрутизатор MikroTik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В шкафу связи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9.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Опора рамная П образная РМП-1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Обочина. Над проезжей частью дороги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10.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Опора рамная Г — образная РМГ-1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Обочина. Над проезжей частью дороги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Шкаф связи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10.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Вводной распределительный щит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12.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Опора освещения металлическая оцинкованная СФГ-700-8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1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Уличный светодиодный светильник 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STL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-150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W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01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12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Консольный светильник Оникс 90-Ш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Барьерное ограждение, 406 м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К-т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16.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Дорожные знаки (согласно ПОДД)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К-т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val="en-US" w:eastAsia="zh-CN"/>
              </w:rPr>
              <w:t xml:space="preserve">17.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Комплекс средств сигнализации.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К-т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В шкафах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eastAsia="ru-RU"/>
              </w:rPr>
              <w:t xml:space="preserve">18.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59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Устройство синхронизации времени УСВ-3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2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  <w:lang w:eastAsia="zh-CN"/>
              </w:rPr>
              <w:t xml:space="preserve">В шкафу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871"/>
        <w:jc w:val="both"/>
        <w:rPr>
          <w:rFonts w:ascii="PT Astra Serif" w:hAnsi="PT Astra Serif" w:eastAsia="Times New Roman" w:cs="Arial"/>
          <w:b/>
          <w:bCs/>
          <w:sz w:val="24"/>
          <w:szCs w:val="24"/>
        </w:rPr>
      </w:pPr>
      <w:r>
        <w:rPr>
          <w:rFonts w:ascii="PT Astra Serif" w:hAnsi="PT Astra Serif" w:eastAsia="Times New Roman" w:cs="Arial"/>
          <w:b/>
          <w:bCs/>
          <w:sz w:val="24"/>
          <w:szCs w:val="24"/>
        </w:rPr>
      </w:r>
      <w:r>
        <w:rPr>
          <w:rFonts w:ascii="PT Astra Serif" w:hAnsi="PT Astra Serif" w:eastAsia="Times New Roman" w:cs="Arial"/>
          <w:b/>
          <w:bCs/>
          <w:sz w:val="24"/>
          <w:szCs w:val="24"/>
        </w:rPr>
      </w:r>
      <w:r>
        <w:rPr>
          <w:rFonts w:ascii="PT Astra Serif" w:hAnsi="PT Astra Serif" w:eastAsia="Times New Roman" w:cs="Arial"/>
          <w:b/>
          <w:bCs/>
          <w:sz w:val="24"/>
          <w:szCs w:val="24"/>
        </w:rPr>
      </w:r>
    </w:p>
    <w:p>
      <w:pPr>
        <w:pStyle w:val="87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eastAsia="Times New Roman"/>
          <w:b/>
          <w:bCs/>
          <w:sz w:val="24"/>
          <w:szCs w:val="24"/>
        </w:rPr>
        <w:t xml:space="preserve">4.</w:t>
      </w:r>
      <w:r>
        <w:rPr>
          <w:rFonts w:ascii="PT Astra Serif" w:hAnsi="PT Astra Serif" w:eastAsia="Times New Roman"/>
          <w:b/>
          <w:bCs/>
          <w:sz w:val="24"/>
          <w:szCs w:val="24"/>
        </w:rPr>
        <w:t xml:space="preserve">2</w:t>
      </w:r>
      <w:r>
        <w:rPr>
          <w:rFonts w:ascii="PT Astra Serif" w:hAnsi="PT Astra Serif" w:eastAsia="Times New Roman"/>
          <w:b/>
          <w:bCs/>
          <w:sz w:val="24"/>
          <w:szCs w:val="24"/>
        </w:rPr>
        <w:t xml:space="preserve">. В состав </w:t>
      </w:r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АПВГК, расположенного </w:t>
      </w:r>
      <w:bookmarkStart w:id="0" w:name="undefined"/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на</w:t>
      </w:r>
      <w:bookmarkEnd w:id="0"/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 </w:t>
      </w:r>
      <w:bookmarkStart w:id="0" w:name="undefined"/>
      <w:r>
        <w:rPr>
          <w:rFonts w:ascii="PT Astra Serif" w:hAnsi="PT Astra Serif" w:eastAsia="Times New Roman" w:cs="Times New Roman"/>
          <w:b/>
          <w:bCs/>
          <w:sz w:val="24"/>
          <w:szCs w:val="24"/>
          <w:lang w:eastAsia="ar-SA"/>
        </w:rPr>
        <w:t xml:space="preserve">км3+387 автомобильной дороги «Дубки-Киржач»</w:t>
      </w:r>
      <w:bookmarkEnd w:id="0"/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, входит следующее оборудование, подлежащее охране: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982"/>
        <w:jc w:val="right"/>
      </w:pPr>
      <w:r>
        <w:rPr>
          <w:rStyle w:val="994"/>
          <w:rFonts w:ascii="PT Astra Serif" w:hAnsi="PT Astra Serif" w:eastAsia="NSimSun" w:cs="Times New Roman"/>
          <w:b/>
          <w:bCs/>
          <w:sz w:val="24"/>
          <w:szCs w:val="24"/>
        </w:rPr>
        <w:t xml:space="preserve">Таблица 2.</w:t>
      </w:r>
      <w:r/>
    </w:p>
    <w:tbl>
      <w:tblPr>
        <w:tblW w:w="10248" w:type="dxa"/>
        <w:tblInd w:w="9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05"/>
        <w:gridCol w:w="4348"/>
        <w:gridCol w:w="990"/>
        <w:gridCol w:w="390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57" w:right="0"/>
              <w:jc w:val="center"/>
              <w:spacing w:before="0" w:after="0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NSimSun" w:cs="Times New Roman"/>
                <w:b/>
                <w:bCs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113" w:right="0" w:firstLine="68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bCs/>
                <w:sz w:val="24"/>
                <w:szCs w:val="24"/>
              </w:rPr>
              <w:t xml:space="preserve">Наименование комплекта/элемента/системы/подсистемы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bCs/>
                <w:sz w:val="24"/>
                <w:szCs w:val="24"/>
              </w:rPr>
              <w:t xml:space="preserve">Кол-во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b/>
                <w:bCs/>
                <w:sz w:val="24"/>
                <w:szCs w:val="24"/>
              </w:rPr>
              <w:t xml:space="preserve">Место расположение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43" w:type="dxa"/>
            <w:textDirection w:val="lrTb"/>
            <w:noWrap w:val="false"/>
          </w:tcPr>
          <w:p>
            <w:pPr>
              <w:pStyle w:val="995"/>
              <w:ind w:left="113" w:right="0" w:firstLine="68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Система дорожная весового и габаритного контроля «CBK» СВК-2-Р(М)ВС № 78397, в составе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Силоприемный модуль со встроенными тензодатчиками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right="340"/>
              <w:jc w:val="left"/>
              <w:spacing w:before="0" w:after="0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Дорожное покрытие в зоне АПВГК.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1.2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Индуктивные петли индикаторов обнаружения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right="340"/>
              <w:jc w:val="left"/>
              <w:spacing w:before="0" w:after="0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Дорожное покрытие в зоне АПВГК.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1.3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 с электронной частью СВК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6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1.3.1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Шкаф защитный антивандальный (внешний)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PT Astra Serif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1.4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 с электронной частью СВК дополнительный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1.4.1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Шкаф защитный антивандальный (внешний)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1.5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170" w:right="0" w:firstLine="68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Оптический лазерный излучатель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</w:pPr>
            <w:r>
              <w:rPr>
                <w:rStyle w:val="994"/>
                <w:rFonts w:ascii="PT Astra Serif" w:hAnsi="PT Astra Serif" w:eastAsia="NSimSun" w:cs="Times New Roman"/>
                <w:sz w:val="24"/>
                <w:szCs w:val="24"/>
              </w:rPr>
              <w:t xml:space="preserve">2.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43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Камеры фото и видеофиксации в составе: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</w:pPr>
            <w:r>
              <w:rPr>
                <w:rStyle w:val="994"/>
                <w:rFonts w:ascii="PT Astra Serif" w:hAnsi="PT Astra Serif" w:eastAsia="NSimSun" w:cs="Times New Roman"/>
                <w:sz w:val="24"/>
                <w:szCs w:val="24"/>
              </w:rPr>
              <w:t xml:space="preserve">2.1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 w:firstLine="68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Модуль фотофиксации и распознавания ГРЗ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2.1.1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Комплекс аппаратно-программный «Вокорд Трафик М»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PT Astra Serif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</w:pPr>
            <w:r>
              <w:rPr>
                <w:rStyle w:val="994"/>
                <w:rFonts w:ascii="PT Astra Serif" w:hAnsi="PT Astra Serif" w:eastAsia="NSimSun" w:cs="Times New Roman"/>
                <w:sz w:val="24"/>
                <w:szCs w:val="24"/>
              </w:rPr>
              <w:t xml:space="preserve">2.1.1.1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Цветная видеокамера для получения обзорного изображения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408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2.1.1.2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57"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Моноблок Microcyclops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PT Astra Serif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Видеокамера для наблюдения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227" w:right="0" w:firstLine="68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Устройство синхронизации времени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 шкафу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Табло переменной информации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6.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Метеостанция ПАК МК «Идема»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7.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Опора рамная П-образная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right="113" w:firstLine="680"/>
              <w:jc w:val="left"/>
              <w:spacing w:before="0" w:after="0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Обочина. Над проезжей частью дороги.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8.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Опора рамная Г - образная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170" w:right="113" w:firstLine="68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Обочина. Над проезжей частью дороги.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9.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Опора ТПИ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 со стабилизаторами напряжения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 ВРУ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10.2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 ТПИ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10.3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ПАК МК «ИДЕМА»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10.4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Шкаф уличного освещения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10.5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Комплекс средств охранной сигнализации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right="113"/>
              <w:jc w:val="left"/>
              <w:spacing w:before="0" w:after="0"/>
              <w:widowControl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опоре. В шкафах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Опора металлическая оцинкованная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12.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 w:hanging="57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Опора ж/б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Уличный светодиодный светильник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 w:hanging="57"/>
              <w:jc w:val="left"/>
              <w:spacing w:before="0" w:after="0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Барьерное ограждение, дорожные знаки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Комплек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15.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48" w:type="dxa"/>
            <w:textDirection w:val="lrTb"/>
            <w:noWrap w:val="false"/>
          </w:tcPr>
          <w:p>
            <w:pPr>
              <w:pStyle w:val="995"/>
              <w:ind w:right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Защитное ограждение П-образной опоры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0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5" w:type="dxa"/>
            <w:textDirection w:val="lrTb"/>
            <w:noWrap w:val="false"/>
          </w:tcPr>
          <w:p>
            <w:pPr>
              <w:pStyle w:val="995"/>
              <w:ind w:left="-709" w:right="0" w:firstLine="709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eastAsia="NSimSun" w:cs="Times New Roman"/>
                <w:sz w:val="24"/>
                <w:szCs w:val="24"/>
              </w:rPr>
              <w:t xml:space="preserve">Обочина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871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</w:r>
      <w:r>
        <w:rPr>
          <w:rFonts w:ascii="PT Astra Serif" w:hAnsi="PT Astra Serif" w:cs="Times New Roman"/>
          <w:b/>
          <w:sz w:val="24"/>
          <w:szCs w:val="24"/>
        </w:rPr>
      </w:r>
      <w:r>
        <w:rPr>
          <w:rFonts w:ascii="PT Astra Serif" w:hAnsi="PT Astra Serif" w:cs="Times New Roman"/>
          <w:b/>
          <w:sz w:val="24"/>
          <w:szCs w:val="24"/>
        </w:rPr>
      </w:r>
    </w:p>
    <w:p>
      <w:pPr>
        <w:pStyle w:val="871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4.3. В состав АПВГК, расположенного на км 127+600 автомобильной дороги «Колокша-Кольчугино-Александров-Верхние Дворики», </w:t>
      </w:r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входит следующее оборудование, подлежащее охране:</w:t>
      </w:r>
      <w:r>
        <w:rPr>
          <w:rFonts w:ascii="PT Astra Serif" w:hAnsi="PT Astra Serif" w:eastAsia="Times New Roman" w:cs="Arial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"/>
          <w:b/>
          <w:sz w:val="24"/>
          <w:szCs w:val="24"/>
        </w:rPr>
      </w:r>
      <w:r>
        <w:rPr>
          <w:rFonts w:ascii="PT Astra Serif" w:hAnsi="PT Astra Serif" w:cs="Times New Roman"/>
          <w:b/>
          <w:sz w:val="24"/>
          <w:szCs w:val="24"/>
        </w:rPr>
      </w:r>
    </w:p>
    <w:p>
      <w:pPr>
        <w:pStyle w:val="982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Таблица 3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tbl>
      <w:tblPr>
        <w:tblW w:w="10305" w:type="dxa"/>
        <w:tblInd w:w="4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20"/>
        <w:gridCol w:w="4184"/>
        <w:gridCol w:w="1096"/>
        <w:gridCol w:w="400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Наименование комплекта/элемента/системы/подсистемы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Кол-во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Место расположение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" w:type="dxa"/>
            <w:textDirection w:val="lrTb"/>
            <w:noWrap w:val="false"/>
          </w:tcPr>
          <w:p>
            <w:pPr>
              <w:pStyle w:val="871"/>
              <w:numPr>
                <w:ilvl w:val="0"/>
                <w:numId w:val="5"/>
              </w:numPr>
              <w:jc w:val="center"/>
              <w:spacing w:before="0" w:after="0" w:line="276" w:lineRule="auto"/>
              <w:widowControl w:val="off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8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Система дорожная весового и габаритного контроля «CBK» СВК-2-РВС,  № 64531 в составе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numPr>
                <w:ilvl w:val="1"/>
                <w:numId w:val="6"/>
              </w:numPr>
              <w:ind w:left="792" w:right="0" w:hanging="587"/>
              <w:jc w:val="center"/>
              <w:spacing w:before="0" w:after="0" w:line="276" w:lineRule="auto"/>
              <w:widowControl w:val="off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Силоприемный модуль со встроенными тензодатчиками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дорожное покрытие в зоне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numPr>
                <w:ilvl w:val="1"/>
                <w:numId w:val="7"/>
              </w:numPr>
              <w:ind w:left="792" w:right="0" w:hanging="587"/>
              <w:jc w:val="center"/>
              <w:spacing w:before="0" w:after="0" w:line="276" w:lineRule="auto"/>
              <w:widowControl w:val="off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Датчики модуля позиционирования и определения числа колес (скатов) на оси TC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дорожное покрытие в зоне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numPr>
                <w:ilvl w:val="1"/>
                <w:numId w:val="8"/>
              </w:numPr>
              <w:ind w:left="792" w:right="0" w:hanging="587"/>
              <w:jc w:val="center"/>
              <w:spacing w:before="0" w:after="0" w:line="276" w:lineRule="auto"/>
              <w:widowControl w:val="off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Индуктивные петли индикаторов обнаружения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дорожное покрытие в зоне АПВГК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numPr>
                <w:ilvl w:val="0"/>
                <w:numId w:val="9"/>
              </w:numPr>
              <w:jc w:val="center"/>
              <w:spacing w:before="0" w:after="0" w:line="276" w:lineRule="auto"/>
              <w:widowControl w:val="off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Шкаф с электронной частью СВК в составе: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numPr>
                <w:ilvl w:val="1"/>
                <w:numId w:val="10"/>
              </w:numPr>
              <w:ind w:left="792" w:right="0" w:hanging="587"/>
              <w:jc w:val="center"/>
              <w:spacing w:before="0" w:after="0" w:line="276" w:lineRule="auto"/>
              <w:widowControl w:val="off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Шкаф защитный антивандальный (внешний)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227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Шкаф с электронной частью СВК дополнительный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227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3.1.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Шкаф защитный антивандальный малый (внешний)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Оптический лазерный излучатель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Устройство синхронизации времени УСВ-3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Модуль измерения габаритных размеров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85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Камеры фото и видеофиксации в составе: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454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Модуль фотофиксации и распознавания ГРЗ ТС(комплекс аппаратно-программный «Вокорд Трафик М») в составе: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227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7.1.1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Цветная видеокамера для получения обзорного изображения ТС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227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7.1.2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Моноблок microCyclops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227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7.1.3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Видеокамера для наблюдения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Табло переменной информации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9.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Маршрутизатор Mikrotik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шкафу связи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10.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Опора рамная П образная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Обочина. Над проезжей частью дороги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Опора рамная Г - образная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Обочина. Над проезжей частью дороги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12.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Шкаф связи, включая оборудование передачи данных и коммутации канала связи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Вводной распределительный щит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Опора металлическая оцинкованная включая фундаментные блоки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Обочина.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Уличный светодиодный светильник Luxet Street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Навесное. На опоре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16.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Барьерное ограждение, дорожные знаки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Компл.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Обочина. Над проезжей частью дороги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17.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Комплекс охранного видеонаблюдения модель DS-2CD2773G2-IZS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Навесное. На опорах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pStyle w:val="871"/>
              <w:ind w:left="360" w:right="0" w:firstLine="0"/>
              <w:jc w:val="center"/>
              <w:spacing w:before="0" w:after="0" w:line="276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18.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184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Металлическое ограждение 3х4 м, высота 2,43 м, периметр 14 п.м.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6" w:type="dxa"/>
            <w:textDirection w:val="lrTb"/>
            <w:noWrap w:val="false"/>
          </w:tcPr>
          <w:p>
            <w:pPr>
              <w:pStyle w:val="871"/>
              <w:jc w:val="center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5" w:type="dxa"/>
            <w:textDirection w:val="lrTb"/>
            <w:noWrap w:val="false"/>
          </w:tcPr>
          <w:p>
            <w:pPr>
              <w:pStyle w:val="871"/>
              <w:jc w:val="both"/>
              <w:spacing w:before="0" w:after="0" w:line="240" w:lineRule="auto"/>
              <w:widowControl w:val="o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Вокруг П-образной опоры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871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</w:t>
      </w:r>
      <w:r>
        <w:rPr>
          <w:rFonts w:ascii="PT Astra Serif" w:hAnsi="PT Astra Serif" w:cs="Times New Roman"/>
          <w:b/>
          <w:sz w:val="24"/>
          <w:szCs w:val="24"/>
        </w:rPr>
      </w:r>
      <w:r>
        <w:rPr>
          <w:rFonts w:ascii="PT Astra Serif" w:hAnsi="PT Astra Serif" w:cs="Times New Roman"/>
          <w:b/>
          <w:sz w:val="24"/>
          <w:szCs w:val="24"/>
        </w:rPr>
      </w:r>
    </w:p>
    <w:p>
      <w:pPr>
        <w:pStyle w:val="871"/>
        <w:ind w:firstLine="567"/>
        <w:jc w:val="both"/>
        <w:widowControl w:val="off"/>
      </w:pP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5. Требования к </w:t>
      </w:r>
      <w:r>
        <w:rPr>
          <w:rFonts w:ascii="Times New Roman" w:hAnsi="Times New Roman" w:eastAsia="Times New Roman"/>
          <w:b/>
          <w:bCs/>
          <w:sz w:val="24"/>
          <w:szCs w:val="24"/>
          <w:lang w:eastAsia="ar-SA"/>
        </w:rPr>
        <w:t xml:space="preserve">услуге по охране </w:t>
      </w:r>
      <w:r>
        <w:rPr>
          <w:rFonts w:ascii="Times New Roman" w:hAnsi="Times New Roman" w:eastAsia="Times New Roman"/>
          <w:b/>
          <w:bCs/>
          <w:sz w:val="24"/>
          <w:szCs w:val="24"/>
          <w:lang w:eastAsia="ar-SA"/>
        </w:rPr>
        <w:t xml:space="preserve">и техническому обслуживанию ТСО</w:t>
      </w:r>
      <w:r>
        <w:rPr>
          <w:rFonts w:ascii="Times New Roman" w:hAnsi="Times New Roman" w:eastAsia="Times New Roman"/>
          <w:b/>
          <w:bCs/>
          <w:sz w:val="24"/>
          <w:szCs w:val="24"/>
          <w:lang w:eastAsia="ar-SA"/>
        </w:rPr>
        <w:t xml:space="preserve"> АПВГК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.</w:t>
      </w:r>
      <w:r/>
    </w:p>
    <w:p>
      <w:pPr>
        <w:pStyle w:val="871"/>
        <w:ind w:firstLine="680"/>
        <w:jc w:val="both"/>
        <w:widowControl w:val="off"/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Целью оказания услуги является применение комплекса охранных мероприятий с использованием технических и специальных средств, исключающих возможность умышленного причинения ущерба охраняемому объекту и имуществу Заказчика.</w:t>
      </w:r>
      <w:r>
        <w:rPr>
          <w:sz w:val="24"/>
          <w:szCs w:val="24"/>
        </w:rPr>
        <w:t xml:space="preserve"> </w:t>
      </w:r>
      <w:r/>
    </w:p>
    <w:p>
      <w:pPr>
        <w:pStyle w:val="871"/>
        <w:ind w:firstLine="0"/>
        <w:jc w:val="both"/>
        <w:widowControl w:val="off"/>
      </w:pP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ar-SA"/>
        </w:rPr>
        <w:t xml:space="preserve">Охрана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ar-SA"/>
        </w:rPr>
        <w:t xml:space="preserve">АПВГК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ar-SA"/>
        </w:rPr>
        <w:t xml:space="preserve">и</w:t>
      </w:r>
      <w:r>
        <w:rPr>
          <w:rFonts w:ascii="Times New Roman" w:hAnsi="Times New Roman" w:eastAsia="Times New Roman" w:cs="Times New Roman"/>
          <w:bCs/>
          <w:color w:val="000000"/>
          <w:spacing w:val="-1"/>
          <w:sz w:val="24"/>
          <w:szCs w:val="24"/>
          <w:lang w:eastAsia="ar-SA"/>
        </w:rPr>
        <w:t xml:space="preserve"> техническое обслуживание </w:t>
      </w:r>
      <w:r>
        <w:rPr>
          <w:rFonts w:ascii="Times New Roman" w:hAnsi="Times New Roman" w:eastAsia="Times New Roman" w:cs="Times New Roman"/>
          <w:bCs/>
          <w:color w:val="000000"/>
          <w:spacing w:val="-1"/>
          <w:sz w:val="24"/>
          <w:szCs w:val="24"/>
          <w:lang w:eastAsia="ar-SA"/>
        </w:rPr>
        <w:t xml:space="preserve">ТСО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ar-SA"/>
        </w:rPr>
        <w:t xml:space="preserve">АПВГК должна осуществляться ежедневно, круглосуточно, в режиме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24/7/365/366 собственными силами Исполнителя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а также с привлечением третьих лиц.</w:t>
      </w:r>
      <w:r/>
    </w:p>
    <w:p>
      <w:pPr>
        <w:pStyle w:val="871"/>
        <w:ind w:firstLine="680"/>
        <w:jc w:val="both"/>
        <w:widowControl w:val="off"/>
      </w:pPr>
      <w:r>
        <w:rPr>
          <w:rFonts w:ascii="Times New Roman" w:hAnsi="Times New Roman" w:cs="Times New Roman"/>
          <w:sz w:val="24"/>
          <w:szCs w:val="24"/>
        </w:rPr>
        <w:t xml:space="preserve">Услуги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должны соответствовать требованиям следующих нормативно-правовых актов Российской Федерации:</w:t>
      </w:r>
      <w:r/>
    </w:p>
    <w:p>
      <w:pPr>
        <w:pStyle w:val="871"/>
        <w:ind w:firstLine="680"/>
        <w:jc w:val="both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Закон Российской Федерации от 11 марта 1992 года №2487-1 «О частной детективной и охранной деятельности в Российской Федерации»;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1"/>
        <w:ind w:firstLine="680"/>
        <w:jc w:val="both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Постановление Правительства Российской Федерации от 23 июня 2011 года № 498 «О некоторых вопросах осуществления частной детективной (сыскной) и частной охранной деятельности»;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1"/>
        <w:ind w:firstLine="680"/>
        <w:jc w:val="both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Постановление Правительства Российской Федерации от 14 августа 1992 года № 587 «Вопросы негосударственной (частной) охранной и негосударственной (частной) сыскной деятельности»;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1"/>
        <w:ind w:firstLine="680"/>
        <w:jc w:val="both"/>
        <w:widowControl w:val="off"/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- ГОСТ Р 59044-2020. «Национальный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требования».</w:t>
      </w:r>
      <w:r/>
    </w:p>
    <w:p>
      <w:pPr>
        <w:pStyle w:val="871"/>
        <w:ind w:firstLine="680"/>
        <w:jc w:val="both"/>
        <w:widowControl w:val="off"/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Исполнитель оказывает Заказчику услуги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по охране АПВГК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(далее-Объект)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с помощью ПЦО (пункта централизованной охраны)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путем подключения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комплекса средств охранной сигна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лизации к пульту централизованного наблюдения (ПЦН), выдающих на ПЦН по каналам связи информацию о срабатывании ТСО (сигнал тревоги), реагирования на сообщение прибытием на Объект мобильного наряда Исполнителя и принятия мер по защите имущества Заказчика,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а Заказчик принимает оказанные услуги и оплачивает их. Под охрану должно приниматься всё имущество АПВГК. Исполнитель должен обеспечить сохранность имущества Заказчика от хищения, повреждения, уничтожения. При обнаружении мобильным нарядом Исполнителя на О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бъекте посторонних лиц, причастных к срабатыванию ТСО, принимать меры к их задержанию и вызову наряда полиции на место происшествия, о чем уведомить Заказчика, организовать охрану Объекта до прибытия представителей Заказчика и компетентных должностных лиц.</w:t>
      </w:r>
      <w:r/>
    </w:p>
    <w:p>
      <w:pPr>
        <w:pStyle w:val="871"/>
        <w:ind w:firstLine="680"/>
        <w:jc w:val="both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Заказчик вправе устанавливать и изменять время охраны Объекта, подлежащего охране, по письменному согласованию или телефонному уведомлению с Исполнителем.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Постановка под охрану Объекта, а также прием его из-под охраны производится Заказчиком согласно Инструкции о порядке пользования средствами ОС, разработанной Исполнителем и согласованной с Заказчиком.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 обеспечивает Заказчику возможность просмотра изображения в режиме реального времени, а также возможность просмотра и копирования интересующих частей архива.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1"/>
        <w:ind w:firstLine="709"/>
        <w:jc w:val="both"/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Исполнитель обеспечивает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техническое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обслуживание ТСО (Приложени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1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и 2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) самостоятельно и за свой счет.</w:t>
      </w:r>
      <w:r/>
    </w:p>
    <w:p>
      <w:pPr>
        <w:pStyle w:val="87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Во всех случаях срабатывания ТСО обеспечивать регистрацию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поступившего на ПЦН сигнала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прибытие в максимально короткие сроки, с учетом оптимально выбранного маршрута движения, но не более 10 минут, к охраняемому объекту для выяснения причин срабатывания ТСО, предупреждения или пресечения преступлений и правонарушений на охраняемом объекте,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а, в случае необходимости, принятие объекта под охрану до прибытия представителей правоохранительных органов, представителя Заказчика или получения иных указаний от Заказчика.</w:t>
      </w:r>
      <w:r/>
    </w:p>
    <w:p>
      <w:pPr>
        <w:pStyle w:val="871"/>
        <w:ind w:firstLine="708"/>
        <w:jc w:val="both"/>
      </w:pP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По результатам </w:t>
      </w: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ar-SA"/>
        </w:rPr>
        <w:t xml:space="preserve">оказанной услуги по охране АПВГК</w:t>
      </w: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 за отчетный период Исполнитель направляет в адрес Заказчика акт оказанных услуг и журнал учета мероприятий по охране АПВГК, которая дол</w:t>
      </w: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жна включать результаты визуального осмотра Объекта, реагирования ГБР на тревожные сигналы, результаты проверок ТСО, результаты обслуживания и ремонта ТСО и т. п. Форма журнала согласовывается с Заказчиком. Примерная форма журнала приведена в приложении 2.</w:t>
      </w:r>
      <w:r/>
    </w:p>
    <w:p>
      <w:pPr>
        <w:pStyle w:val="871"/>
        <w:ind w:firstLine="708"/>
        <w:jc w:val="both"/>
      </w:pP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Проверка работоспособности </w:t>
      </w: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ТСО</w:t>
      </w: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 осуществляется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Исполнителем</w:t>
      </w:r>
      <w:r>
        <w:rPr>
          <w:rFonts w:ascii="Times New Roman" w:hAnsi="Times New Roman" w:eastAsia="Times New Roman" w:cs="Times New Roman"/>
          <w:iCs/>
          <w:sz w:val="24"/>
          <w:szCs w:val="24"/>
        </w:rPr>
        <w:t xml:space="preserve"> ежедневно, а в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изуальный осмотр объекта - не реже 1 раза в трое суток, о чем делается соответствующая запись в журнале.</w:t>
      </w:r>
      <w:r/>
    </w:p>
    <w:p>
      <w:pPr>
        <w:pStyle w:val="871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Заказчик вправе производить проверку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качества несения службы мобильными нарядами Исполнителя при реагировании на сигнал «Тревога» не чаще одного раза в течение месяца.</w:t>
      </w:r>
      <w:r/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По согласованию Стороны рассматривают возможность модернизации системы централизованного наблюдения, в связи с истечением срока службы прежней или ее замены.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В перечень услуг по техническому обслуживанию ТСО АПВГК входит: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 внешний осмотр оборудования (при необходимости) на наличие механических повреждений, грязи, следов коррозии, прочности крепления, сохранности пломб, при этом определяется его работоспособность;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 проверка состояния соединений всех кабелей и проводов с аппаратурой и клеммами;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 очистка оборудования от загрязнений,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коррозии,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удаление посторонних предметов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(при необходимости)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ониторинг, техническая поддержка 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и контроль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 работоспособности системы 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ТСО 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(на постоянной основе)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- 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рием и обработка инцидентов, 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  <w:t xml:space="preserve">к</w:t>
      </w:r>
      <w:r>
        <w:rPr>
          <w:rFonts w:ascii="Times New Roman" w:hAnsi="Times New Roman" w:eastAsia="Times New Roman" w:cs="Arial"/>
          <w:color w:val="000000"/>
          <w:spacing w:val="-3"/>
          <w:sz w:val="24"/>
          <w:szCs w:val="24"/>
        </w:rPr>
        <w:t xml:space="preserve">онсультирование ответственных за эксплуатацию АПВГК сотрудников Заказчика по вопросам функционирования </w:t>
      </w:r>
      <w:r>
        <w:rPr>
          <w:rFonts w:ascii="Times New Roman" w:hAnsi="Times New Roman" w:eastAsia="Times New Roman" w:cs="Arial"/>
          <w:color w:val="000000"/>
          <w:spacing w:val="-3"/>
          <w:sz w:val="24"/>
          <w:szCs w:val="24"/>
        </w:rPr>
        <w:t xml:space="preserve">ТСО;</w:t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Arial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диагностика (в том числе, удаленная) неисправностей оборудования и их устранение (в случае выхода из строя оборудования или его элементов они приобретаются за счет Заказчика);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709"/>
        <w:jc w:val="both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 обеспеч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ение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Заказчику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круглосуточной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возможност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просмотра изображения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 ТСО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в режиме реального времени, а также возможность просмотра и копирования интересующих частей архива.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pStyle w:val="871"/>
        <w:ind w:firstLine="68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Требования, предъявляемые к ПЦН:</w:t>
      </w:r>
      <w:r/>
    </w:p>
    <w:p>
      <w:pPr>
        <w:pStyle w:val="871"/>
        <w:ind w:firstLine="708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ПЦН должно быть круглосуточное (24 часа в сутки) присутствие оператора.</w:t>
      </w:r>
      <w:r/>
    </w:p>
    <w:p>
      <w:pPr>
        <w:pStyle w:val="871"/>
        <w:ind w:firstLine="708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ПЦН размещается в помещении Исполнителя на территории Владимирской области.</w:t>
      </w:r>
      <w:r/>
    </w:p>
    <w:p>
      <w:pPr>
        <w:pStyle w:val="871"/>
        <w:ind w:firstLine="708"/>
        <w:jc w:val="both"/>
        <w:spacing w:before="0" w:after="3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ПЦН должен обеспечивать прием, передачу и регистрацию сообщений с объектов 24 часа в сутки.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871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71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71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7. Требования, предъявляемые к ГБР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981"/>
        <w:ind w:firstLine="708"/>
        <w:jc w:val="both"/>
        <w:spacing w:before="0" w:after="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Экипаж ГБР должен передвигаться на собственном/арендованном автотранспорте с нанесенной фирменной символикой охранного предприятия;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81"/>
        <w:ind w:firstLine="708"/>
        <w:jc w:val="both"/>
        <w:spacing w:before="0" w:after="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Сотрудники ГБР должны быть одеты в форменную одежду с нанесенной фирменной символикой охранного предприятия;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81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Время реагирования и ответственность исполнителя.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98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Время реагирования на тревожные сообщения не должно превышать 10 минут.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8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81"/>
        <w:ind w:left="0"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81"/>
        <w:ind w:left="0"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81"/>
        <w:ind w:left="0"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81"/>
        <w:ind w:left="0"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81"/>
        <w:ind w:left="0"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9902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37"/>
        <w:gridCol w:w="4829"/>
        <w:gridCol w:w="236"/>
      </w:tblGrid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Директор ГКУ ВО «ЦБДД ВО»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______________________/Е.О. Булатов 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____________________/____________/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 </w:t>
            </w: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7"/>
        <w:rPr>
          <w:b/>
          <w:bCs/>
          <w:sz w:val="24"/>
          <w:szCs w:val="24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>
            <w:numFmt w:val="decimal"/>
          </w:footnotePr>
          <w:endnotePr/>
          <w:type w:val="nextPage"/>
          <w:pgSz w:w="11906" w:h="16838" w:orient="portrait"/>
          <w:pgMar w:top="567" w:right="766" w:bottom="567" w:left="1276" w:header="709" w:footer="709" w:gutter="0"/>
          <w:cols w:num="1" w:sep="0" w:space="1701" w:equalWidth="1"/>
          <w:docGrid w:linePitch="360"/>
        </w:sect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Приложение 1 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/>
      <w:bookmarkStart w:id="0" w:name="undefined"/>
      <w:r/>
      <w:bookmarkEnd w:id="0"/>
      <w:r>
        <w:rPr>
          <w:rFonts w:ascii="PT Astra Serif" w:hAnsi="PT Astra Serif"/>
          <w:b/>
          <w:bCs/>
          <w:sz w:val="24"/>
          <w:szCs w:val="24"/>
        </w:rPr>
        <w:t xml:space="preserve">к техническому заданию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967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967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Список ТСО, установленных на </w:t>
      </w:r>
      <w:r>
        <w:rPr>
          <w:rFonts w:ascii="PT Astra Serif" w:hAnsi="PT Astra Serif" w:eastAsia="Times New Roman" w:cs="Arial"/>
          <w:b/>
          <w:bCs/>
          <w:sz w:val="24"/>
          <w:szCs w:val="24"/>
        </w:rPr>
        <w:t xml:space="preserve">АПВГК, расположенном на км 8+508 автомобильной дороги «Струнино-Площево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  <w:b/>
          <w:bCs/>
          <w:sz w:val="24"/>
          <w:szCs w:val="24"/>
        </w:rPr>
      </w:r>
    </w:p>
    <w:tbl>
      <w:tblPr>
        <w:tblW w:w="9628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"/>
        <w:gridCol w:w="6911"/>
        <w:gridCol w:w="212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pStyle w:val="98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Наименование оборудования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Количество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Сетевой 8-ми канальный видеорегистратор SVN-8125 v2.0, разрешение IP камер до 8 Мп,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Видеокамера  IP с видеоаналитикой SVI-S32V SD FC 2Mpix 2,8-12 mm,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Жесткий диск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HDD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Tb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SATA</w:t>
            </w:r>
            <w:r>
              <w:rPr>
                <w:rFonts w:ascii="PT Astra Serif" w:hAnsi="PT Astra Serif"/>
                <w:sz w:val="24"/>
                <w:szCs w:val="24"/>
              </w:rPr>
              <w:t xml:space="preserve">-3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Seagate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5400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SkeHawk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Кабель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UTP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уличный самонесущий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Skynet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UTP</w:t>
            </w:r>
            <w:r>
              <w:rPr>
                <w:rFonts w:ascii="PT Astra Serif" w:hAnsi="PT Astra Serif"/>
                <w:sz w:val="24"/>
                <w:szCs w:val="24"/>
              </w:rPr>
              <w:t xml:space="preserve">4-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CAT</w:t>
            </w: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OUT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Premium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4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x</w:t>
            </w: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x</w:t>
            </w:r>
            <w:r>
              <w:rPr>
                <w:rFonts w:ascii="PT Astra Serif" w:hAnsi="PT Astra Serif"/>
                <w:sz w:val="24"/>
                <w:szCs w:val="24"/>
              </w:rPr>
              <w:t xml:space="preserve">0.51, м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400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Коммутатор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 POE HiWatch DS-S908P(B) 8x10/100M PoE,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шт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Охранная панель Nord Air Pro,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Расширитель проводных зон EX-81,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АКБ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 Delta 1,2 A/h,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шт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9.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Адаптер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 Ethernet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Датчик ИК+СВЧ уличный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Patrol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108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pet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11.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Уличный шкаф на опору ЩМП-4-0 800*650*250 IP 66,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Источник бесперебойного питания с АКБ Delta 7A/h,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Коробка уличная распаячная ОП190*140*70 IP 55,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14.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Фурнитура, комп.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tbl>
      <w:tblPr>
        <w:tblW w:w="9902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37"/>
        <w:gridCol w:w="4829"/>
        <w:gridCol w:w="236"/>
      </w:tblGrid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Директор ГКУ ВО «ЦБДД ВО»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______________________/Е.О. Булатов 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____________________/____________/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 </w:t>
            </w: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7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Приложение </w:t>
      </w:r>
      <w:r>
        <w:rPr>
          <w:rFonts w:ascii="PT Astra Serif" w:hAnsi="PT Astra Serif"/>
          <w:b/>
          <w:bCs/>
          <w:sz w:val="24"/>
          <w:szCs w:val="24"/>
        </w:rPr>
        <w:t xml:space="preserve">2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</w:rPr>
      </w:pPr>
      <w:r/>
      <w:bookmarkStart w:id="0" w:name="undefined"/>
      <w:r/>
      <w:bookmarkEnd w:id="0"/>
      <w:r>
        <w:rPr>
          <w:rFonts w:ascii="PT Astra Serif" w:hAnsi="PT Astra Serif"/>
          <w:b/>
          <w:bCs/>
          <w:sz w:val="24"/>
          <w:szCs w:val="24"/>
        </w:rPr>
        <w:t xml:space="preserve">к техническому заданию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967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Список ТСО, установленного на АПВГК н</w:t>
      </w:r>
      <w:r>
        <w:rPr>
          <w:rFonts w:ascii="PT Astra Serif" w:hAnsi="PT Astra Serif" w:cs="Times New Roman"/>
          <w:b/>
          <w:sz w:val="24"/>
          <w:szCs w:val="24"/>
        </w:rPr>
        <w:t xml:space="preserve">а км 127+600 автомобильной дороги «Колокша-Кольчугино-Александров-Верхние Дворики», </w:t>
      </w:r>
      <w:bookmarkStart w:id="0" w:name="undefined"/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на</w:t>
      </w:r>
      <w:bookmarkEnd w:id="0"/>
      <w:r>
        <w:rPr>
          <w:rFonts w:ascii="PT Astra Serif" w:hAnsi="PT Astra Serif" w:eastAsia="Times New Roman" w:cs="Times New Roman"/>
          <w:b/>
          <w:bCs/>
          <w:sz w:val="24"/>
          <w:szCs w:val="24"/>
        </w:rPr>
        <w:t xml:space="preserve"> </w:t>
      </w:r>
      <w:bookmarkStart w:id="0" w:name="undefined"/>
      <w:r>
        <w:rPr>
          <w:rFonts w:ascii="PT Astra Serif" w:hAnsi="PT Astra Serif" w:eastAsia="Times New Roman" w:cs="Times New Roman"/>
          <w:b/>
          <w:bCs/>
          <w:sz w:val="24"/>
          <w:szCs w:val="24"/>
          <w:lang w:eastAsia="ar-SA"/>
        </w:rPr>
        <w:t xml:space="preserve">км 3+387 автомобильной дороги «Дубки-Киржач»</w:t>
      </w:r>
      <w:bookmarkEnd w:id="0"/>
      <w:r>
        <w:rPr>
          <w:rFonts w:ascii="PT Astra Serif" w:hAnsi="PT Astra Serif" w:cs="Times New Roman"/>
          <w:b/>
          <w:sz w:val="24"/>
          <w:szCs w:val="24"/>
        </w:rPr>
      </w:r>
      <w:r>
        <w:rPr>
          <w:rFonts w:ascii="PT Astra Serif" w:hAnsi="PT Astra Serif" w:cs="Times New Roman"/>
          <w:b/>
          <w:sz w:val="24"/>
          <w:szCs w:val="24"/>
        </w:rPr>
      </w:r>
    </w:p>
    <w:tbl>
      <w:tblPr>
        <w:tblW w:w="9628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"/>
        <w:gridCol w:w="7161"/>
        <w:gridCol w:w="187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pStyle w:val="98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Наименование оборудования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Количество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Сетевой 8-ми канальный видеорегистратор SVN-8125 v2.0, разрешение IP камер до 8 Мп,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Видеокамера  IP с видеоаналитикой SVI-S3</w:t>
            </w:r>
            <w:r>
              <w:rPr>
                <w:rFonts w:ascii="PT Astra Serif" w:hAnsi="PT Astra Serif"/>
                <w:sz w:val="24"/>
                <w:szCs w:val="24"/>
              </w:rPr>
              <w:t xml:space="preserve">23VM SD FI SL MAX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2Mpix 2,8-12 mm,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Кронштейн КУ — 1С шт.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4.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Коробка монтажная DS-1280ZJ-XS шт.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Жесткий диск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WD Purple WD23PURZ, 2ТБ, HDD, SANA </w:t>
            </w:r>
            <w:r>
              <w:rPr>
                <w:rFonts w:ascii="PT Astra Serif" w:hAnsi="PT Astra Serif" w:eastAsia="Times New Roman" w:cs="Calibri"/>
                <w:sz w:val="24"/>
                <w:szCs w:val="24"/>
                <w:lang w:val="en-US"/>
              </w:rPr>
              <w:t xml:space="preserve">І</w:t>
            </w:r>
            <w:r>
              <w:rPr>
                <w:rFonts w:ascii="PT Astra Serif" w:hAnsi="PT Astra Serif" w:eastAsia="Times New Roman" w:cs="Calibri"/>
                <w:sz w:val="24"/>
                <w:szCs w:val="24"/>
                <w:lang w:val="en-US"/>
              </w:rPr>
              <w:t xml:space="preserve">ІІ, 3.5 "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Коммутатор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 HiWatch DS-S908P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(В)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шт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7.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Модуль передачи сообщений на станцию мониторинга по каналу Ethernet шт.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Климатический навесной шкаф MASTERMANN — 5УТПВ-П (Ver. 2.0) 600х800х250 мм IP 54 00-00016767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Источник бесперебойного питания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Вымпел ИБП-122 шт.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ккумулятор герметичный свинцово-кислотный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шт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trHeight w:val="17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11.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Прибор передачи извещений Nord WRL (Nord Pro Air) шт.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17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Датчик вскрытия корпуса ИО 102-26 исп.00 «Аякс» шт.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Датчик объема PATROL-108PET шт.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14.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АКБ 12 в, 1,2 Ач шт.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15.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1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Кабель витая пара F/UTP кат.5е 4х2х24AWG solid PE OUTDOOR трос черн. (м) Rexant 01-00144 м.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3" w:type="dxa"/>
            <w:textDirection w:val="lrTb"/>
            <w:noWrap w:val="false"/>
          </w:tcPr>
          <w:p>
            <w:pPr>
              <w:pStyle w:val="98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800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871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pStyle w:val="871"/>
        <w:ind w:right="4"/>
        <w:jc w:val="center"/>
        <w:rPr>
          <w:rFonts w:ascii="Tinos" w:hAnsi="Tinos" w:cs="Tinos"/>
          <w:bCs/>
          <w:sz w:val="22"/>
          <w:szCs w:val="22"/>
        </w:rPr>
      </w:pPr>
      <w:r>
        <w:rPr>
          <w:rFonts w:ascii="Tinos" w:hAnsi="Tinos" w:eastAsia="Tinos" w:cs="Tinos"/>
          <w:bCs/>
          <w:sz w:val="22"/>
          <w:szCs w:val="22"/>
          <w:lang w:eastAsia="ar-SA"/>
        </w:rPr>
      </w:r>
      <w:r>
        <w:rPr>
          <w:rFonts w:ascii="Tinos" w:hAnsi="Tinos" w:cs="Tinos"/>
          <w:bCs/>
          <w:sz w:val="22"/>
          <w:szCs w:val="22"/>
        </w:rPr>
      </w:r>
      <w:r>
        <w:rPr>
          <w:rFonts w:ascii="Tinos" w:hAnsi="Tinos" w:cs="Tinos"/>
          <w:bCs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9902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37"/>
        <w:gridCol w:w="4829"/>
        <w:gridCol w:w="236"/>
      </w:tblGrid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Директор ГКУ ВО «ЦБДД ВО»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______________________/Е.О. Булатов 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____________________/____________/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 </w:t>
            </w: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shd w:val="nil" w:color="000000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shd w:val="nil" w:color="000000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shd w:val="nil" w:color="000000"/>
        <w:rPr>
          <w:rFonts w:ascii="Tinos" w:hAnsi="Tinos" w:cs="Tinos"/>
          <w:sz w:val="22"/>
          <w:szCs w:val="22"/>
        </w:rPr>
        <w:sectPr>
          <w:footnotePr>
            <w:numFmt w:val="decimal"/>
          </w:footnotePr>
          <w:endnotePr/>
          <w:type w:val="nextPage"/>
          <w:pgSz w:w="11906" w:h="16838" w:orient="portrait"/>
          <w:pgMar w:top="567" w:right="766" w:bottom="567" w:left="1276" w:header="709" w:footer="709" w:gutter="0"/>
          <w:cols w:num="1" w:sep="0" w:space="1701" w:equalWidth="1"/>
          <w:docGrid w:linePitch="360"/>
        </w:sect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Приложение </w:t>
      </w:r>
      <w:r>
        <w:rPr>
          <w:b/>
          <w:bCs/>
          <w:sz w:val="24"/>
          <w:szCs w:val="24"/>
        </w:rPr>
        <w:t xml:space="preserve">3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Техническому заданию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64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Рекомендуемая форма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4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Журнал учета мероприятий по охране АПВГК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4619" w:type="dxa"/>
        <w:jc w:val="center"/>
        <w:tblInd w:w="0" w:type="dxa"/>
        <w:tblLayout w:type="fixed"/>
        <w:tblCellMar>
          <w:left w:w="20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938"/>
        <w:gridCol w:w="3405"/>
        <w:gridCol w:w="3587"/>
        <w:gridCol w:w="3285"/>
        <w:gridCol w:w="1671"/>
        <w:gridCol w:w="1733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vAlign w:val="center"/>
            <w:vMerge w:val="restart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Дата, время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vMerge w:val="restart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Проведенные мероприятия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vAlign w:val="center"/>
            <w:vMerge w:val="restart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Выявленные замечания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vAlign w:val="center"/>
            <w:vMerge w:val="restart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Принятые меры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4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22" w:type="dxa"/>
              <w:top w:w="30" w:type="dxa"/>
              <w:right w:w="30" w:type="dxa"/>
              <w:bottom w:w="30" w:type="dxa"/>
            </w:tcMar>
            <w:tcW w:w="938" w:type="dxa"/>
            <w:vAlign w:val="center"/>
            <w:vMerge w:val="continue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22" w:type="dxa"/>
              <w:top w:w="30" w:type="dxa"/>
              <w:right w:w="30" w:type="dxa"/>
              <w:bottom w:w="30" w:type="dxa"/>
            </w:tcMar>
            <w:tcW w:w="3405" w:type="dxa"/>
            <w:vAlign w:val="center"/>
            <w:vMerge w:val="continue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22" w:type="dxa"/>
              <w:top w:w="30" w:type="dxa"/>
              <w:right w:w="30" w:type="dxa"/>
              <w:bottom w:w="30" w:type="dxa"/>
            </w:tcMar>
            <w:tcW w:w="3587" w:type="dxa"/>
            <w:vAlign w:val="center"/>
            <w:vMerge w:val="continue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Mar>
              <w:left w:w="22" w:type="dxa"/>
              <w:top w:w="30" w:type="dxa"/>
              <w:right w:w="30" w:type="dxa"/>
              <w:bottom w:w="30" w:type="dxa"/>
            </w:tcMar>
            <w:tcW w:w="3285" w:type="dxa"/>
            <w:vAlign w:val="center"/>
            <w:vMerge w:val="continue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35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5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0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5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5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0" w:hRule="exact"/>
        </w:trPr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938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40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587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3285" w:type="dxa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671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1" w:sz="6" w:space="0"/>
              <w:left w:val="single" w:color="000001" w:sz="6" w:space="0"/>
              <w:bottom w:val="single" w:color="000001" w:sz="6" w:space="0"/>
              <w:right w:val="single" w:color="000001" w:sz="6" w:space="0"/>
            </w:tcBorders>
            <w:tcW w:w="1733" w:type="dxa"/>
            <w:vAlign w:val="center"/>
            <w:textDirection w:val="lrTb"/>
            <w:noWrap w:val="false"/>
          </w:tcPr>
          <w:p>
            <w:pPr>
              <w:pStyle w:val="9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64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 xml:space="preserve">Исполнитель_______________________________________________________(должность, подпись, расшифровка подписи, печать)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hd w:val="nil" w:color="000000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W w:w="9902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37"/>
        <w:gridCol w:w="4829"/>
        <w:gridCol w:w="236"/>
      </w:tblGrid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pStyle w:val="871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Исполнитель: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4837" w:type="dxa"/>
            <w:textDirection w:val="lrTb"/>
            <w:noWrap w:val="false"/>
          </w:tcPr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Директор ГКУ ВО «ЦБДД ВО»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widowControl w:val="off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______________________/Е.О. Булатов 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4829" w:type="dxa"/>
            <w:textDirection w:val="lrTb"/>
            <w:noWrap w:val="false"/>
          </w:tcPr>
          <w:p>
            <w:pPr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____________________/____________/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  <w:p>
            <w:pPr>
              <w:pStyle w:val="871"/>
              <w:ind w:right="229"/>
              <w:rPr>
                <w:rFonts w:ascii="Tinos" w:hAnsi="Tinos" w:cs="Tinos"/>
                <w:sz w:val="22"/>
                <w:szCs w:val="22"/>
                <w:u w:val="none"/>
              </w:rPr>
            </w:pP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 </w:t>
            </w:r>
            <w:r>
              <w:rPr>
                <w:rFonts w:ascii="Tinos" w:hAnsi="Tinos" w:eastAsia="Tinos" w:cs="Tinos"/>
                <w:sz w:val="22"/>
                <w:szCs w:val="22"/>
                <w:u w:val="none"/>
              </w:rPr>
              <w:t xml:space="preserve">М.П.</w:t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  <w:r>
              <w:rPr>
                <w:rFonts w:ascii="Tinos" w:hAnsi="Tinos" w:cs="Tinos"/>
                <w:sz w:val="22"/>
                <w:szCs w:val="22"/>
                <w:u w:val="none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871"/>
              <w:ind w:firstLine="708"/>
              <w:jc w:val="both"/>
              <w:spacing w:before="120" w:after="120"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964"/>
        <w:numPr>
          <w:ilvl w:val="0"/>
          <w:numId w:val="0"/>
        </w:numPr>
        <w:ind w:left="0" w:firstLine="0"/>
        <w:jc w:val="center"/>
        <w:rPr>
          <w:rFonts w:ascii="Tinos" w:hAnsi="Tinos" w:cs="Tinos"/>
          <w:sz w:val="22"/>
          <w:szCs w:val="22"/>
        </w:rPr>
        <w:outlineLvl w:val="1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sectPr>
      <w:footnotePr>
        <w:numFmt w:val="decimal"/>
      </w:footnotePr>
      <w:endnotePr/>
      <w:type w:val="nextPage"/>
      <w:pgSz w:w="16838" w:h="11906" w:orient="landscape"/>
      <w:pgMar w:top="1276" w:right="567" w:bottom="766" w:left="567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erif;Times New Roman">
    <w:panose1 w:val="02020603050405020304"/>
  </w:font>
  <w:font w:name="Liberation Serif">
    <w:panose1 w:val="02020603050405020304"/>
  </w:font>
  <w:font w:name="SimSun">
    <w:panose1 w:val="02000506000000020000"/>
  </w:font>
  <w:font w:name="Noto Sans">
    <w:panose1 w:val="020B0502040504020204"/>
  </w:font>
  <w:font w:name="Wingdings">
    <w:panose1 w:val="05010000000000000000"/>
  </w:font>
  <w:font w:name="Courier New">
    <w:panose1 w:val="02070409020205020404"/>
  </w:font>
  <w:font w:name="Mangal">
    <w:panose1 w:val="02040503050406030204"/>
  </w:font>
  <w:font w:name="Symbol">
    <w:panose1 w:val="05010000000000000000"/>
  </w:font>
  <w:font w:name="PTAstra Serif">
    <w:panose1 w:val="020A0603040505020204"/>
  </w:font>
  <w:font w:name="Consolas">
    <w:panose1 w:val="020B0606020202030204"/>
  </w:font>
  <w:font w:name="Tahoma">
    <w:panose1 w:val="020B0606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603040505020204"/>
  </w:font>
  <w:font w:name="NSimSun">
    <w:panose1 w:val="02000506000000020000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/>
      <w:r/>
    </w:p>
  </w:footnote>
  <w:footnote w:type="continuationSeparator" w:id="0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jc w:val="righ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72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pStyle w:val="873"/>
      <w:isLgl w:val="false"/>
      <w:suff w:val="tab"/>
      <w:lvlText w:val="%1.%2."/>
      <w:lvlJc w:val="left"/>
      <w:pPr>
        <w:ind w:left="0" w:firstLine="0"/>
        <w:tabs>
          <w:tab w:val="num" w:pos="0" w:leader="none"/>
        </w:tabs>
      </w:pPr>
      <w:rPr>
        <w:rFonts w:cs="Times New Roman"/>
        <w:i w:val="0"/>
        <w:color w:val="00000a"/>
        <w:sz w:val="24"/>
      </w:rPr>
    </w:lvl>
    <w:lvl w:ilvl="2">
      <w:start w:val="1"/>
      <w:numFmt w:val="decimal"/>
      <w:pStyle w:val="874"/>
      <w:isLgl w:val="false"/>
      <w:suff w:val="tab"/>
      <w:lvlText w:val="%1.%2.%3."/>
      <w:lvlJc w:val="left"/>
      <w:pPr>
        <w:ind w:left="0" w:firstLine="0"/>
        <w:tabs>
          <w:tab w:val="num" w:pos="0" w:leader="none"/>
        </w:tabs>
      </w:pPr>
      <w:rPr>
        <w:rFonts w:cs="Times New Roman"/>
        <w:i w:val="0"/>
      </w:rPr>
    </w:lvl>
    <w:lvl w:ilvl="3">
      <w:start w:val="1"/>
      <w:numFmt w:val="decimal"/>
      <w:pStyle w:val="875"/>
      <w:isLgl w:val="false"/>
      <w:suff w:val="tab"/>
      <w:lvlText w:val="%1.%2.%3.%4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pStyle w:val="876"/>
      <w:isLgl w:val="false"/>
      <w:suff w:val="tab"/>
      <w:lvlText w:val="%1.%2.%3.%4.%5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pStyle w:val="877"/>
      <w:isLgl w:val="false"/>
      <w:suff w:val="tab"/>
      <w:lvlText w:val="%1.%2.%3.%4.%5.%6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pStyle w:val="878"/>
      <w:isLgl w:val="false"/>
      <w:suff w:val="tab"/>
      <w:lvlText w:val="%1.%2.%3.%4.%5.%6.%7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pStyle w:val="879"/>
      <w:isLgl w:val="false"/>
      <w:suff w:val="tab"/>
      <w:lvlText w:val="%1.%2.%3.%4.%5.%6.%7.%8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pStyle w:val="880"/>
      <w:isLgl w:val="false"/>
      <w:suff w:val="tab"/>
      <w:lvlText w:val="%1.%2.%3.%4.%5.%6.%7.%8.%9.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pStyle w:val="980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%2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%3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%4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%5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%6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%7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%8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%9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rFonts w:cs="Times New Roman"/>
        <w:color w:val="0000ff"/>
        <w:sz w:val="24"/>
        <w:szCs w:val="24"/>
        <w:u w:val="single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  <w:rPr>
        <w:rFonts w:cs="Times New Roman"/>
        <w:color w:val="0000ff"/>
        <w:sz w:val="24"/>
        <w:szCs w:val="24"/>
        <w:u w:val="singl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  <w:rPr>
        <w:rFonts w:ascii="Times New Roman" w:hAnsi="Times New Roman" w:cs="Times New Roman"/>
        <w:color w:val="0000ff"/>
        <w:sz w:val="24"/>
        <w:szCs w:val="24"/>
        <w:u w:val="singl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  <w:rPr>
        <w:rFonts w:cs="Times New Roman"/>
        <w:color w:val="0000ff"/>
        <w:sz w:val="24"/>
        <w:szCs w:val="24"/>
        <w:u w:val="singl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  <w:rPr>
        <w:rFonts w:cs="Times New Roman"/>
        <w:color w:val="0000ff"/>
        <w:sz w:val="24"/>
        <w:szCs w:val="24"/>
        <w:u w:val="singl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  <w:rPr>
        <w:rFonts w:cs="Times New Roman"/>
        <w:color w:val="0000ff"/>
        <w:sz w:val="24"/>
        <w:szCs w:val="24"/>
        <w:u w:val="singl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  <w:rPr>
        <w:rFonts w:ascii="PT Astra Serif" w:hAnsi="PT Astra Serif" w:cs="Times New Roman"/>
        <w:color w:val="000000"/>
        <w:sz w:val="24"/>
        <w:szCs w:val="24"/>
        <w:u w:val="singl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  <w:rPr>
        <w:rFonts w:ascii="PT Astra Serif" w:hAnsi="PT Astra Serif" w:cs="Times New Roman"/>
        <w:color w:val="000000"/>
        <w:sz w:val="24"/>
        <w:szCs w:val="24"/>
        <w:u w:val="singl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  <w:rPr>
        <w:rFonts w:ascii="PT Astra Serif" w:hAnsi="PT Astra Serif" w:cs="Times New Roman"/>
        <w:color w:val="0563c1"/>
        <w:sz w:val="24"/>
        <w:szCs w:val="24"/>
        <w:u w:val="singl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rFonts w:ascii="PT Astra Serif" w:hAnsi="PT Astra Serif" w:cs="Times New Roman"/>
        <w:color w:val="0563c1"/>
        <w:sz w:val="24"/>
        <w:szCs w:val="24"/>
        <w:u w:val="single"/>
        <w:lang w:val="en-US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  <w:rPr>
        <w:rFonts w:ascii="PT Astra Serif" w:hAnsi="PT Astra Serif" w:cs="Times New Roman"/>
        <w:color w:val="0563c1"/>
        <w:sz w:val="24"/>
        <w:szCs w:val="24"/>
        <w:u w:val="singl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  <w:rPr>
        <w:rFonts w:ascii="PT Astra Serif" w:hAnsi="PT Astra Serif" w:cs="Times New Roman"/>
        <w:color w:val="0563c1"/>
        <w:sz w:val="24"/>
        <w:szCs w:val="24"/>
        <w:u w:val="single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  <w:rPr>
        <w:rFonts w:ascii="PT Astra Serif" w:hAnsi="PT Astra Serif" w:cs="Times New Roman"/>
        <w:color w:val="0563c1"/>
        <w:sz w:val="24"/>
        <w:szCs w:val="24"/>
        <w:u w:val="singl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  <w:rPr>
        <w:rFonts w:ascii="PT Astra Serif" w:hAnsi="PT Astra Serif" w:cs="Times New Roman"/>
        <w:color w:val="0563c1"/>
        <w:sz w:val="24"/>
        <w:szCs w:val="24"/>
        <w:u w:val="single"/>
        <w:lang w:val="en-US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  <w:rPr>
        <w:rFonts w:ascii="PT Astra Serif" w:hAnsi="PT Astra Serif" w:eastAsia="SimSun" w:cs="Arial"/>
        <w:color w:val="0563c1"/>
        <w:sz w:val="24"/>
        <w:szCs w:val="24"/>
        <w:u w:val="single"/>
        <w:lang w:eastAsia="zh-CN" w:bidi="hi-I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space"/>
      <w:lvlText w:val="%1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  <w:tabs>
          <w:tab w:val="num" w:pos="0" w:leader="none"/>
        </w:tabs>
      </w:pPr>
      <w:rPr>
        <w:rFonts w:cs="Times New Roman"/>
        <w:i w:val="0"/>
        <w:color w:val="00000a"/>
        <w:sz w:val="24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  <w:tabs>
          <w:tab w:val="num" w:pos="0" w:leader="none"/>
        </w:tabs>
      </w:pPr>
      <w:rPr>
        <w:rFonts w:cs="Times New Roman"/>
        <w:i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709"/>
        <w:tabs>
          <w:tab w:val="num" w:pos="0" w:leader="none"/>
        </w:tabs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3">
    <w:name w:val="Heading 1 Char"/>
    <w:basedOn w:val="881"/>
    <w:link w:val="872"/>
    <w:uiPriority w:val="9"/>
    <w:rPr>
      <w:rFonts w:ascii="Arial" w:hAnsi="Arial" w:eastAsia="Arial" w:cs="Arial"/>
      <w:sz w:val="40"/>
      <w:szCs w:val="40"/>
    </w:rPr>
  </w:style>
  <w:style w:type="character" w:styleId="714">
    <w:name w:val="Heading 2 Char"/>
    <w:basedOn w:val="881"/>
    <w:link w:val="873"/>
    <w:uiPriority w:val="9"/>
    <w:rPr>
      <w:rFonts w:ascii="Arial" w:hAnsi="Arial" w:eastAsia="Arial" w:cs="Arial"/>
      <w:sz w:val="34"/>
    </w:rPr>
  </w:style>
  <w:style w:type="character" w:styleId="715">
    <w:name w:val="Heading 3 Char"/>
    <w:basedOn w:val="881"/>
    <w:link w:val="874"/>
    <w:uiPriority w:val="9"/>
    <w:rPr>
      <w:rFonts w:ascii="Arial" w:hAnsi="Arial" w:eastAsia="Arial" w:cs="Arial"/>
      <w:sz w:val="30"/>
      <w:szCs w:val="30"/>
    </w:rPr>
  </w:style>
  <w:style w:type="character" w:styleId="716">
    <w:name w:val="Heading 4 Char"/>
    <w:basedOn w:val="881"/>
    <w:link w:val="875"/>
    <w:uiPriority w:val="9"/>
    <w:rPr>
      <w:rFonts w:ascii="Arial" w:hAnsi="Arial" w:eastAsia="Arial" w:cs="Arial"/>
      <w:b/>
      <w:bCs/>
      <w:sz w:val="26"/>
      <w:szCs w:val="26"/>
    </w:rPr>
  </w:style>
  <w:style w:type="character" w:styleId="717">
    <w:name w:val="Heading 5 Char"/>
    <w:basedOn w:val="881"/>
    <w:link w:val="876"/>
    <w:uiPriority w:val="9"/>
    <w:rPr>
      <w:rFonts w:ascii="Arial" w:hAnsi="Arial" w:eastAsia="Arial" w:cs="Arial"/>
      <w:b/>
      <w:bCs/>
      <w:sz w:val="24"/>
      <w:szCs w:val="24"/>
    </w:rPr>
  </w:style>
  <w:style w:type="character" w:styleId="718">
    <w:name w:val="Heading 6 Char"/>
    <w:basedOn w:val="881"/>
    <w:link w:val="877"/>
    <w:uiPriority w:val="9"/>
    <w:rPr>
      <w:rFonts w:ascii="Arial" w:hAnsi="Arial" w:eastAsia="Arial" w:cs="Arial"/>
      <w:b/>
      <w:bCs/>
      <w:sz w:val="22"/>
      <w:szCs w:val="22"/>
    </w:rPr>
  </w:style>
  <w:style w:type="character" w:styleId="719">
    <w:name w:val="Heading 7 Char"/>
    <w:basedOn w:val="881"/>
    <w:link w:val="8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>
    <w:name w:val="Heading 8 Char"/>
    <w:basedOn w:val="881"/>
    <w:link w:val="879"/>
    <w:uiPriority w:val="9"/>
    <w:rPr>
      <w:rFonts w:ascii="Arial" w:hAnsi="Arial" w:eastAsia="Arial" w:cs="Arial"/>
      <w:i/>
      <w:iCs/>
      <w:sz w:val="22"/>
      <w:szCs w:val="22"/>
    </w:rPr>
  </w:style>
  <w:style w:type="character" w:styleId="721">
    <w:name w:val="Heading 9 Char"/>
    <w:basedOn w:val="881"/>
    <w:link w:val="880"/>
    <w:uiPriority w:val="9"/>
    <w:rPr>
      <w:rFonts w:ascii="Arial" w:hAnsi="Arial" w:eastAsia="Arial" w:cs="Arial"/>
      <w:i/>
      <w:iCs/>
      <w:sz w:val="21"/>
      <w:szCs w:val="21"/>
    </w:rPr>
  </w:style>
  <w:style w:type="character" w:styleId="722">
    <w:name w:val="Title Char"/>
    <w:basedOn w:val="881"/>
    <w:link w:val="947"/>
    <w:uiPriority w:val="10"/>
    <w:rPr>
      <w:sz w:val="48"/>
      <w:szCs w:val="48"/>
    </w:rPr>
  </w:style>
  <w:style w:type="paragraph" w:styleId="723">
    <w:name w:val="Subtitle"/>
    <w:basedOn w:val="871"/>
    <w:next w:val="871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81"/>
    <w:link w:val="723"/>
    <w:uiPriority w:val="11"/>
    <w:rPr>
      <w:sz w:val="24"/>
      <w:szCs w:val="24"/>
    </w:rPr>
  </w:style>
  <w:style w:type="paragraph" w:styleId="725">
    <w:name w:val="Quote"/>
    <w:basedOn w:val="871"/>
    <w:next w:val="871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1"/>
    <w:next w:val="871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81"/>
    <w:link w:val="953"/>
    <w:uiPriority w:val="99"/>
  </w:style>
  <w:style w:type="character" w:styleId="730">
    <w:name w:val="Footer Char"/>
    <w:basedOn w:val="881"/>
    <w:link w:val="955"/>
    <w:uiPriority w:val="99"/>
  </w:style>
  <w:style w:type="character" w:styleId="731">
    <w:name w:val="Caption Char"/>
    <w:basedOn w:val="881"/>
    <w:link w:val="943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1">
    <w:name w:val="List Table 7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2">
    <w:name w:val="List Table 7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3">
    <w:name w:val="List Table 7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4">
    <w:name w:val="List Table 7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5">
    <w:name w:val="List Table 7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6">
    <w:name w:val="Lined - Accent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Lined - Accent 2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Lined - Accent 3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Lined - Accent 4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Lined - Accent 5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Lined - Accent 6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 &amp; Lined - Accent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Bordered &amp; Lined - Accent 2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Bordered &amp; Lined - Accent 3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Bordered &amp; Lined - Accent 4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Bordered &amp; Lined - Accent 5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Bordered &amp; Lined - Accent 6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Footnote Text Char"/>
    <w:link w:val="951"/>
    <w:uiPriority w:val="99"/>
    <w:rPr>
      <w:sz w:val="18"/>
    </w:rPr>
  </w:style>
  <w:style w:type="paragraph" w:styleId="858">
    <w:name w:val="endnote text"/>
    <w:basedOn w:val="871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pPr>
      <w:jc w:val="left"/>
      <w:spacing w:before="0" w:after="0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0"/>
      <w:szCs w:val="20"/>
      <w:lang w:val="ru-RU" w:eastAsia="ru-RU" w:bidi="ar-SA"/>
    </w:rPr>
  </w:style>
  <w:style w:type="paragraph" w:styleId="872">
    <w:name w:val="Heading 1"/>
    <w:basedOn w:val="871"/>
    <w:uiPriority w:val="99"/>
    <w:qFormat/>
    <w:pPr>
      <w:numPr>
        <w:ilvl w:val="0"/>
        <w:numId w:val="1"/>
      </w:numPr>
      <w:jc w:val="center"/>
      <w:keepLines/>
      <w:keepNext/>
      <w:spacing w:before="240" w:after="120"/>
      <w:outlineLvl w:val="0"/>
    </w:pPr>
    <w:rPr>
      <w:b/>
      <w:bCs/>
      <w:sz w:val="24"/>
      <w:szCs w:val="28"/>
    </w:rPr>
  </w:style>
  <w:style w:type="paragraph" w:styleId="873">
    <w:name w:val="Heading 2"/>
    <w:basedOn w:val="871"/>
    <w:link w:val="888"/>
    <w:uiPriority w:val="99"/>
    <w:qFormat/>
    <w:pPr>
      <w:numPr>
        <w:ilvl w:val="1"/>
        <w:numId w:val="1"/>
      </w:numPr>
      <w:outlineLvl w:val="1"/>
    </w:pPr>
    <w:rPr>
      <w:bCs/>
      <w:szCs w:val="26"/>
    </w:rPr>
  </w:style>
  <w:style w:type="paragraph" w:styleId="874">
    <w:name w:val="Heading 3"/>
    <w:basedOn w:val="871"/>
    <w:link w:val="889"/>
    <w:uiPriority w:val="99"/>
    <w:qFormat/>
    <w:pPr>
      <w:numPr>
        <w:ilvl w:val="2"/>
        <w:numId w:val="1"/>
      </w:numPr>
      <w:outlineLvl w:val="2"/>
    </w:pPr>
    <w:rPr>
      <w:bCs/>
    </w:rPr>
  </w:style>
  <w:style w:type="paragraph" w:styleId="875">
    <w:name w:val="Heading 4"/>
    <w:basedOn w:val="871"/>
    <w:link w:val="890"/>
    <w:uiPriority w:val="99"/>
    <w:qFormat/>
    <w:pPr>
      <w:numPr>
        <w:ilvl w:val="3"/>
        <w:numId w:val="1"/>
      </w:numPr>
      <w:outlineLvl w:val="3"/>
    </w:pPr>
    <w:rPr>
      <w:bCs/>
      <w:iCs/>
    </w:rPr>
  </w:style>
  <w:style w:type="paragraph" w:styleId="876">
    <w:name w:val="Heading 5"/>
    <w:basedOn w:val="871"/>
    <w:link w:val="891"/>
    <w:uiPriority w:val="99"/>
    <w:qFormat/>
    <w:pPr>
      <w:numPr>
        <w:ilvl w:val="4"/>
        <w:numId w:val="1"/>
      </w:numPr>
      <w:keepLines/>
      <w:keepNext/>
      <w:spacing w:before="200" w:after="0"/>
      <w:outlineLvl w:val="4"/>
    </w:pPr>
  </w:style>
  <w:style w:type="paragraph" w:styleId="877">
    <w:name w:val="Heading 6"/>
    <w:basedOn w:val="871"/>
    <w:link w:val="892"/>
    <w:uiPriority w:val="99"/>
    <w:qFormat/>
    <w:pPr>
      <w:numPr>
        <w:ilvl w:val="5"/>
        <w:numId w:val="1"/>
      </w:numPr>
      <w:keepLines/>
      <w:keepNext/>
      <w:spacing w:before="200" w:after="0"/>
      <w:outlineLvl w:val="5"/>
    </w:pPr>
    <w:rPr>
      <w:i/>
      <w:iCs/>
      <w:color w:val="243f60"/>
    </w:rPr>
  </w:style>
  <w:style w:type="paragraph" w:styleId="878">
    <w:name w:val="Heading 7"/>
    <w:basedOn w:val="871"/>
    <w:link w:val="893"/>
    <w:uiPriority w:val="99"/>
    <w:qFormat/>
    <w:pPr>
      <w:numPr>
        <w:ilvl w:val="6"/>
        <w:numId w:val="1"/>
      </w:numPr>
      <w:keepLines/>
      <w:keepNext/>
      <w:spacing w:before="200" w:after="0"/>
      <w:outlineLvl w:val="6"/>
    </w:pPr>
    <w:rPr>
      <w:i/>
      <w:iCs/>
      <w:color w:val="404040"/>
    </w:rPr>
  </w:style>
  <w:style w:type="paragraph" w:styleId="879">
    <w:name w:val="Heading 8"/>
    <w:basedOn w:val="871"/>
    <w:link w:val="894"/>
    <w:uiPriority w:val="99"/>
    <w:qFormat/>
    <w:pPr>
      <w:numPr>
        <w:ilvl w:val="7"/>
        <w:numId w:val="1"/>
      </w:numPr>
      <w:keepLines/>
      <w:keepNext/>
      <w:spacing w:before="200" w:after="0"/>
      <w:outlineLvl w:val="7"/>
    </w:pPr>
    <w:rPr>
      <w:color w:val="4f81bd"/>
    </w:rPr>
  </w:style>
  <w:style w:type="paragraph" w:styleId="880">
    <w:name w:val="Heading 9"/>
    <w:basedOn w:val="871"/>
    <w:link w:val="895"/>
    <w:uiPriority w:val="99"/>
    <w:qFormat/>
    <w:pPr>
      <w:numPr>
        <w:ilvl w:val="8"/>
        <w:numId w:val="1"/>
      </w:numPr>
      <w:keepLines/>
      <w:keepNext/>
      <w:spacing w:before="200" w:after="0"/>
      <w:outlineLvl w:val="8"/>
    </w:pPr>
    <w:rPr>
      <w:i/>
      <w:iCs/>
      <w:color w:val="404040"/>
    </w:rPr>
  </w:style>
  <w:style w:type="character" w:styleId="881" w:default="1">
    <w:name w:val="Default Paragraph Font"/>
    <w:uiPriority w:val="1"/>
    <w:semiHidden/>
    <w:unhideWhenUsed/>
    <w:qFormat/>
  </w:style>
  <w:style w:type="character" w:styleId="882" w:customStyle="1">
    <w:name w:val="Символ сноски"/>
    <w:qFormat/>
    <w:rPr>
      <w:vertAlign w:val="superscript"/>
    </w:rPr>
  </w:style>
  <w:style w:type="character" w:styleId="883" w:customStyle="1">
    <w:name w:val="Знак сноски1"/>
    <w:qFormat/>
    <w:rPr>
      <w:vertAlign w:val="superscript"/>
    </w:rPr>
  </w:style>
  <w:style w:type="character" w:styleId="884">
    <w:name w:val="annotation reference"/>
    <w:basedOn w:val="881"/>
    <w:uiPriority w:val="99"/>
    <w:semiHidden/>
    <w:unhideWhenUsed/>
    <w:qFormat/>
    <w:rPr>
      <w:sz w:val="16"/>
      <w:szCs w:val="16"/>
    </w:rPr>
  </w:style>
  <w:style w:type="character" w:styleId="885">
    <w:name w:val="Emphasis"/>
    <w:basedOn w:val="881"/>
    <w:uiPriority w:val="20"/>
    <w:qFormat/>
    <w:rPr>
      <w:i/>
      <w:iCs/>
    </w:rPr>
  </w:style>
  <w:style w:type="character" w:styleId="886" w:customStyle="1">
    <w:name w:val="Гиперссылка1"/>
    <w:basedOn w:val="881"/>
    <w:qFormat/>
    <w:rPr>
      <w:rFonts w:cs="Times New Roman"/>
      <w:color w:val="0000ff"/>
      <w:u w:val="single"/>
    </w:rPr>
  </w:style>
  <w:style w:type="character" w:styleId="887" w:customStyle="1">
    <w:name w:val="Заголовок 1 Знак"/>
    <w:basedOn w:val="881"/>
    <w:uiPriority w:val="99"/>
    <w:qFormat/>
    <w:rPr>
      <w:rFonts w:ascii="Times New Roman" w:hAnsi="Times New Roman" w:eastAsia="Times New Roman" w:cs="Times New Roman"/>
      <w:b/>
      <w:bCs/>
      <w:sz w:val="24"/>
      <w:szCs w:val="28"/>
      <w:lang w:eastAsia="ru-RU"/>
    </w:rPr>
  </w:style>
  <w:style w:type="character" w:styleId="888" w:customStyle="1">
    <w:name w:val="Заголовок 2 Знак"/>
    <w:basedOn w:val="881"/>
    <w:uiPriority w:val="99"/>
    <w:qFormat/>
    <w:rPr>
      <w:rFonts w:ascii="Times New Roman" w:hAnsi="Times New Roman" w:eastAsia="Times New Roman" w:cs="Times New Roman"/>
      <w:bCs/>
      <w:szCs w:val="26"/>
      <w:lang w:eastAsia="ru-RU"/>
    </w:rPr>
  </w:style>
  <w:style w:type="character" w:styleId="889" w:customStyle="1">
    <w:name w:val="Заголовок 3 Знак"/>
    <w:basedOn w:val="881"/>
    <w:uiPriority w:val="99"/>
    <w:qFormat/>
    <w:rPr>
      <w:rFonts w:ascii="Times New Roman" w:hAnsi="Times New Roman" w:eastAsia="Times New Roman" w:cs="Times New Roman"/>
      <w:bCs/>
      <w:lang w:eastAsia="ru-RU"/>
    </w:rPr>
  </w:style>
  <w:style w:type="character" w:styleId="890" w:customStyle="1">
    <w:name w:val="Заголовок 4 Знак"/>
    <w:basedOn w:val="881"/>
    <w:uiPriority w:val="99"/>
    <w:qFormat/>
    <w:rPr>
      <w:rFonts w:ascii="Times New Roman" w:hAnsi="Times New Roman" w:eastAsia="Times New Roman" w:cs="Times New Roman"/>
      <w:bCs/>
      <w:iCs/>
      <w:lang w:eastAsia="ru-RU"/>
    </w:rPr>
  </w:style>
  <w:style w:type="character" w:styleId="891" w:customStyle="1">
    <w:name w:val="Заголовок 5 Знак"/>
    <w:basedOn w:val="881"/>
    <w:uiPriority w:val="99"/>
    <w:qFormat/>
    <w:rPr>
      <w:rFonts w:ascii="Times New Roman" w:hAnsi="Times New Roman" w:eastAsia="Times New Roman" w:cs="Times New Roman"/>
      <w:lang w:eastAsia="ru-RU"/>
    </w:rPr>
  </w:style>
  <w:style w:type="character" w:styleId="892" w:customStyle="1">
    <w:name w:val="Заголовок 6 Знак"/>
    <w:basedOn w:val="881"/>
    <w:uiPriority w:val="99"/>
    <w:qFormat/>
    <w:rPr>
      <w:rFonts w:ascii="Times New Roman" w:hAnsi="Times New Roman" w:eastAsia="Times New Roman" w:cs="Times New Roman"/>
      <w:i/>
      <w:iCs/>
      <w:color w:val="243f60"/>
      <w:lang w:eastAsia="ru-RU"/>
    </w:rPr>
  </w:style>
  <w:style w:type="character" w:styleId="893" w:customStyle="1">
    <w:name w:val="Заголовок 7 Знак"/>
    <w:basedOn w:val="881"/>
    <w:uiPriority w:val="99"/>
    <w:qFormat/>
    <w:rPr>
      <w:rFonts w:ascii="Times New Roman" w:hAnsi="Times New Roman" w:eastAsia="Times New Roman" w:cs="Times New Roman"/>
      <w:i/>
      <w:iCs/>
      <w:color w:val="404040"/>
      <w:lang w:eastAsia="ru-RU"/>
    </w:rPr>
  </w:style>
  <w:style w:type="character" w:styleId="894" w:customStyle="1">
    <w:name w:val="Заголовок 8 Знак"/>
    <w:basedOn w:val="881"/>
    <w:uiPriority w:val="99"/>
    <w:qFormat/>
    <w:rPr>
      <w:rFonts w:ascii="Times New Roman" w:hAnsi="Times New Roman" w:eastAsia="Times New Roman" w:cs="Times New Roman"/>
      <w:color w:val="4f81bd"/>
      <w:szCs w:val="20"/>
      <w:lang w:eastAsia="ru-RU"/>
    </w:rPr>
  </w:style>
  <w:style w:type="character" w:styleId="895" w:customStyle="1">
    <w:name w:val="Заголовок 9 Знак"/>
    <w:basedOn w:val="881"/>
    <w:uiPriority w:val="99"/>
    <w:qFormat/>
    <w:rPr>
      <w:rFonts w:ascii="Times New Roman" w:hAnsi="Times New Roman" w:eastAsia="Times New Roman" w:cs="Times New Roman"/>
      <w:i/>
      <w:iCs/>
      <w:color w:val="404040"/>
      <w:szCs w:val="20"/>
      <w:lang w:eastAsia="ru-RU"/>
    </w:rPr>
  </w:style>
  <w:style w:type="character" w:styleId="896" w:customStyle="1">
    <w:name w:val="Заголовок Знак"/>
    <w:basedOn w:val="881"/>
    <w:uiPriority w:val="99"/>
    <w:qFormat/>
    <w:rPr>
      <w:rFonts w:ascii="Times New Roman" w:hAnsi="Times New Roman" w:eastAsia="Times New Roman" w:cs="Times New Roman"/>
      <w:b/>
      <w:spacing w:val="5"/>
      <w:sz w:val="28"/>
      <w:szCs w:val="52"/>
      <w:lang w:eastAsia="ru-RU"/>
    </w:rPr>
  </w:style>
  <w:style w:type="character" w:styleId="897" w:customStyle="1">
    <w:name w:val="Верхний колонтитул Знак"/>
    <w:basedOn w:val="881"/>
    <w:uiPriority w:val="99"/>
    <w:qFormat/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898" w:customStyle="1">
    <w:name w:val="Нижний колонтитул Знак"/>
    <w:basedOn w:val="881"/>
    <w:uiPriority w:val="99"/>
    <w:qFormat/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899" w:customStyle="1">
    <w:name w:val="Основной текст Знак"/>
    <w:basedOn w:val="881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0" w:customStyle="1">
    <w:name w:val="Текст выноски Знак"/>
    <w:basedOn w:val="881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901" w:customStyle="1">
    <w:name w:val="Без интервала Знак"/>
    <w:qFormat/>
    <w:rPr>
      <w:rFonts w:ascii="Calibri" w:hAnsi="Calibri" w:cs="Calibri"/>
    </w:rPr>
  </w:style>
  <w:style w:type="character" w:styleId="902" w:customStyle="1">
    <w:name w:val="Основной шрифт"/>
    <w:uiPriority w:val="99"/>
    <w:semiHidden/>
    <w:qFormat/>
  </w:style>
  <w:style w:type="character" w:styleId="903" w:customStyle="1">
    <w:name w:val="ConsPlusNormal Знак"/>
    <w:basedOn w:val="881"/>
    <w:qFormat/>
    <w:rPr>
      <w:rFonts w:ascii="Times New Roman" w:hAnsi="Times New Roman" w:eastAsia="Calibri" w:cs="Times New Roman"/>
    </w:rPr>
  </w:style>
  <w:style w:type="character" w:styleId="904" w:customStyle="1">
    <w:name w:val="Основной текст с отступом Знак"/>
    <w:uiPriority w:val="99"/>
    <w:qFormat/>
    <w:rPr>
      <w:rFonts w:ascii="Times New Roman" w:hAnsi="Times New Roman" w:cs="Times New Roman"/>
      <w:lang w:val="zh-CN" w:eastAsia="zh-CN"/>
    </w:rPr>
  </w:style>
  <w:style w:type="character" w:styleId="905" w:customStyle="1">
    <w:name w:val="Текст сноски Знак2"/>
    <w:basedOn w:val="881"/>
    <w:uiPriority w:val="99"/>
    <w:semiHidden/>
    <w:qFormat/>
    <w:rPr>
      <w:rFonts w:ascii="Times New Roman" w:hAnsi="Times New Roman" w:eastAsia="Times New Roman" w:cs="Times New Roman"/>
      <w:lang w:eastAsia="ru-RU"/>
    </w:rPr>
  </w:style>
  <w:style w:type="character" w:styleId="906" w:customStyle="1">
    <w:name w:val="Обычный без отступа Знак"/>
    <w:qFormat/>
    <w:rPr>
      <w:rFonts w:ascii="Times New Roman" w:hAnsi="Times New Roman" w:cs="Times New Roman"/>
      <w:sz w:val="24"/>
      <w:szCs w:val="24"/>
    </w:rPr>
  </w:style>
  <w:style w:type="character" w:styleId="907" w:customStyle="1">
    <w:name w:val="Font Style12"/>
    <w:qFormat/>
    <w:rPr>
      <w:rFonts w:ascii="Times New Roman" w:hAnsi="Times New Roman" w:cs="Times New Roman"/>
      <w:sz w:val="22"/>
      <w:szCs w:val="22"/>
    </w:rPr>
  </w:style>
  <w:style w:type="character" w:styleId="908" w:customStyle="1">
    <w:name w:val="apple-style-span"/>
    <w:basedOn w:val="881"/>
    <w:qFormat/>
  </w:style>
  <w:style w:type="character" w:styleId="909" w:customStyle="1">
    <w:name w:val="Обычный.Нормальный абзац Знак1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10" w:customStyle="1">
    <w:name w:val="Font Style78"/>
    <w:qFormat/>
    <w:rPr>
      <w:rFonts w:ascii="Times New Roman" w:hAnsi="Times New Roman" w:cs="Times New Roman"/>
      <w:sz w:val="20"/>
      <w:szCs w:val="20"/>
    </w:rPr>
  </w:style>
  <w:style w:type="character" w:styleId="911" w:customStyle="1">
    <w:name w:val="Font Style77"/>
    <w:qFormat/>
    <w:rPr>
      <w:rFonts w:ascii="Times New Roman" w:hAnsi="Times New Roman" w:cs="Times New Roman"/>
      <w:i/>
      <w:iCs/>
      <w:sz w:val="20"/>
      <w:szCs w:val="20"/>
    </w:rPr>
  </w:style>
  <w:style w:type="character" w:styleId="912" w:customStyle="1">
    <w:name w:val="Текст сноски Знак"/>
    <w:basedOn w:val="881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3" w:customStyle="1">
    <w:name w:val="Текст сноски Знак1"/>
    <w:basedOn w:val="881"/>
    <w:uiPriority w:val="99"/>
    <w:qFormat/>
    <w:rPr>
      <w:rFonts w:ascii="Tahoma" w:hAnsi="Tahoma" w:eastAsia="Times New Roman" w:cs="Times New Roman"/>
      <w:sz w:val="20"/>
      <w:szCs w:val="20"/>
      <w:lang w:val="en-US"/>
    </w:rPr>
  </w:style>
  <w:style w:type="character" w:styleId="914" w:customStyle="1">
    <w:name w:val="Абзац списка Знак"/>
    <w:basedOn w:val="881"/>
    <w:qFormat/>
    <w:rPr>
      <w:rFonts w:ascii="Times New Roman" w:hAnsi="Times New Roman" w:eastAsia="Times New Roman" w:cs="Times New Roman"/>
      <w:lang w:eastAsia="ru-RU"/>
    </w:rPr>
  </w:style>
  <w:style w:type="character" w:styleId="915" w:customStyle="1">
    <w:name w:val="Стандартный HTML Знак"/>
    <w:basedOn w:val="881"/>
    <w:uiPriority w:val="99"/>
    <w:qFormat/>
    <w:rPr>
      <w:rFonts w:ascii="Consolas" w:hAnsi="Consolas" w:eastAsia="Times New Roman" w:cs="Times New Roman"/>
      <w:sz w:val="20"/>
      <w:szCs w:val="20"/>
      <w:lang w:eastAsia="ru-RU"/>
    </w:rPr>
  </w:style>
  <w:style w:type="character" w:styleId="916">
    <w:name w:val="Unresolved Mention"/>
    <w:basedOn w:val="881"/>
    <w:uiPriority w:val="99"/>
    <w:semiHidden/>
    <w:unhideWhenUsed/>
    <w:qFormat/>
    <w:rPr>
      <w:color w:val="605e5c"/>
      <w:shd w:val="clear" w:color="auto" w:fill="e1dfdd"/>
    </w:rPr>
  </w:style>
  <w:style w:type="character" w:styleId="917" w:customStyle="1">
    <w:name w:val="Знак концевой сноски1"/>
    <w:qFormat/>
    <w:rPr>
      <w:vertAlign w:val="superscript"/>
    </w:rPr>
  </w:style>
  <w:style w:type="character" w:styleId="918" w:customStyle="1">
    <w:name w:val="Символы концевой сноски"/>
    <w:qFormat/>
  </w:style>
  <w:style w:type="character" w:styleId="919" w:customStyle="1">
    <w:name w:val="WW_CharLFO84LVL2"/>
    <w:qFormat/>
    <w:rPr>
      <w:i w:val="0"/>
      <w:iCs/>
    </w:rPr>
  </w:style>
  <w:style w:type="character" w:styleId="920" w:customStyle="1">
    <w:name w:val="WW_CharLFO85LVL1"/>
    <w:qFormat/>
    <w:rPr>
      <w:rFonts w:ascii="Symbol" w:hAnsi="Symbol" w:cs="Symbol"/>
      <w:color w:val="000000"/>
      <w:sz w:val="22"/>
      <w:szCs w:val="22"/>
    </w:rPr>
  </w:style>
  <w:style w:type="character" w:styleId="921" w:customStyle="1">
    <w:name w:val="WW_CharLFO89LVL3"/>
    <w:qFormat/>
    <w:rPr>
      <w:color w:val="auto"/>
    </w:rPr>
  </w:style>
  <w:style w:type="character" w:styleId="922" w:customStyle="1">
    <w:name w:val="WW_CharLFO90LVL1"/>
    <w:qFormat/>
    <w:rPr>
      <w:rFonts w:cs="Times New Roman"/>
    </w:rPr>
  </w:style>
  <w:style w:type="character" w:styleId="923" w:customStyle="1">
    <w:name w:val="WW_CharLFO91LVL1"/>
    <w:qFormat/>
    <w:rPr>
      <w:b/>
    </w:rPr>
  </w:style>
  <w:style w:type="character" w:styleId="924" w:customStyle="1">
    <w:name w:val="WW_CharLFO91LVL2"/>
    <w:qFormat/>
    <w:rPr>
      <w:b/>
    </w:rPr>
  </w:style>
  <w:style w:type="character" w:styleId="925" w:customStyle="1">
    <w:name w:val="WW_CharLFO91LVL4"/>
    <w:qFormat/>
    <w:rPr>
      <w:b w:val="0"/>
      <w:u w:val="none"/>
    </w:rPr>
  </w:style>
  <w:style w:type="character" w:styleId="926" w:customStyle="1">
    <w:name w:val="WW_CharLFO91LVL5"/>
    <w:qFormat/>
    <w:rPr>
      <w:b w:val="0"/>
    </w:rPr>
  </w:style>
  <w:style w:type="character" w:styleId="927" w:customStyle="1">
    <w:name w:val="WW_CharLFO92LVL1"/>
    <w:qFormat/>
    <w:rPr>
      <w:rFonts w:ascii="Symbol" w:hAnsi="Symbol"/>
    </w:rPr>
  </w:style>
  <w:style w:type="character" w:styleId="928" w:customStyle="1">
    <w:name w:val="WW_CharLFO92LVL2"/>
    <w:qFormat/>
    <w:rPr>
      <w:rFonts w:ascii="Courier New" w:hAnsi="Courier New" w:cs="Courier New"/>
    </w:rPr>
  </w:style>
  <w:style w:type="character" w:styleId="929" w:customStyle="1">
    <w:name w:val="WW_CharLFO92LVL3"/>
    <w:qFormat/>
    <w:rPr>
      <w:rFonts w:ascii="Wingdings" w:hAnsi="Wingdings"/>
    </w:rPr>
  </w:style>
  <w:style w:type="character" w:styleId="930" w:customStyle="1">
    <w:name w:val="WW_CharLFO92LVL4"/>
    <w:qFormat/>
    <w:rPr>
      <w:rFonts w:ascii="Symbol" w:hAnsi="Symbol"/>
    </w:rPr>
  </w:style>
  <w:style w:type="character" w:styleId="931" w:customStyle="1">
    <w:name w:val="WW_CharLFO92LVL5"/>
    <w:qFormat/>
    <w:rPr>
      <w:rFonts w:ascii="Courier New" w:hAnsi="Courier New" w:cs="Courier New"/>
    </w:rPr>
  </w:style>
  <w:style w:type="character" w:styleId="932" w:customStyle="1">
    <w:name w:val="WW_CharLFO92LVL6"/>
    <w:qFormat/>
    <w:rPr>
      <w:rFonts w:ascii="Wingdings" w:hAnsi="Wingdings"/>
    </w:rPr>
  </w:style>
  <w:style w:type="character" w:styleId="933" w:customStyle="1">
    <w:name w:val="WW_CharLFO92LVL7"/>
    <w:qFormat/>
    <w:rPr>
      <w:rFonts w:ascii="Symbol" w:hAnsi="Symbol"/>
    </w:rPr>
  </w:style>
  <w:style w:type="character" w:styleId="934" w:customStyle="1">
    <w:name w:val="WW_CharLFO92LVL8"/>
    <w:qFormat/>
    <w:rPr>
      <w:rFonts w:ascii="Courier New" w:hAnsi="Courier New" w:cs="Courier New"/>
    </w:rPr>
  </w:style>
  <w:style w:type="character" w:styleId="935" w:customStyle="1">
    <w:name w:val="WW_CharLFO92LVL9"/>
    <w:qFormat/>
    <w:rPr>
      <w:rFonts w:ascii="Wingdings" w:hAnsi="Wingdings"/>
    </w:rPr>
  </w:style>
  <w:style w:type="character" w:styleId="936" w:customStyle="1">
    <w:name w:val="Символ концевой сноски"/>
    <w:qFormat/>
    <w:rPr>
      <w:vertAlign w:val="superscript"/>
    </w:rPr>
  </w:style>
  <w:style w:type="character" w:styleId="937">
    <w:name w:val="Hyperlink"/>
    <w:rPr>
      <w:color w:val="000080"/>
      <w:u w:val="single"/>
    </w:rPr>
  </w:style>
  <w:style w:type="character" w:styleId="938">
    <w:name w:val="footnote reference"/>
    <w:rPr>
      <w:vertAlign w:val="superscript"/>
    </w:rPr>
  </w:style>
  <w:style w:type="character" w:styleId="939">
    <w:name w:val="endnote reference"/>
    <w:rPr>
      <w:vertAlign w:val="superscript"/>
    </w:rPr>
  </w:style>
  <w:style w:type="paragraph" w:styleId="940">
    <w:name w:val="Заголовок"/>
    <w:basedOn w:val="871"/>
    <w:next w:val="941"/>
    <w:qFormat/>
    <w:pPr>
      <w:keepNext/>
      <w:spacing w:before="240" w:after="120"/>
    </w:pPr>
    <w:rPr>
      <w:rFonts w:ascii="PTAstra Serif" w:hAnsi="PTAstra Serif" w:eastAsia="Noto Sans" w:cs="Noto Sans"/>
      <w:sz w:val="28"/>
      <w:szCs w:val="28"/>
    </w:rPr>
  </w:style>
  <w:style w:type="paragraph" w:styleId="941">
    <w:name w:val="Body Text"/>
    <w:basedOn w:val="871"/>
    <w:uiPriority w:val="99"/>
    <w:qFormat/>
    <w:pPr>
      <w:jc w:val="center"/>
    </w:pPr>
    <w:rPr>
      <w:sz w:val="24"/>
      <w:szCs w:val="24"/>
    </w:rPr>
  </w:style>
  <w:style w:type="paragraph" w:styleId="942">
    <w:name w:val="List"/>
    <w:basedOn w:val="941"/>
    <w:rPr>
      <w:rFonts w:cs="Arial"/>
    </w:rPr>
  </w:style>
  <w:style w:type="paragraph" w:styleId="943">
    <w:name w:val="Caption"/>
    <w:basedOn w:val="871"/>
    <w:link w:val="731"/>
    <w:qFormat/>
    <w:pPr>
      <w:suppressLineNumbers/>
    </w:pPr>
    <w:rPr>
      <w:rFonts w:cs="Arial"/>
      <w:i/>
      <w:iCs/>
      <w:sz w:val="24"/>
      <w:szCs w:val="24"/>
    </w:rPr>
  </w:style>
  <w:style w:type="paragraph" w:styleId="944">
    <w:name w:val="Указатель"/>
    <w:basedOn w:val="871"/>
    <w:qFormat/>
    <w:pPr>
      <w:suppressLineNumbers/>
    </w:pPr>
    <w:rPr>
      <w:rFonts w:ascii="PTAstra Serif" w:hAnsi="PTAstra Serif"/>
    </w:rPr>
  </w:style>
  <w:style w:type="paragraph" w:styleId="945">
    <w:name w:val="Заголовок (user)"/>
    <w:basedOn w:val="871"/>
    <w:next w:val="941"/>
    <w:qFormat/>
    <w:pPr>
      <w:keepNext/>
      <w:spacing w:before="240" w:after="120"/>
    </w:pPr>
    <w:rPr>
      <w:rFonts w:ascii="PTAstra Serif" w:hAnsi="PTAstra Serif" w:eastAsia="Noto Sans" w:cs="Noto Sans"/>
      <w:sz w:val="28"/>
      <w:szCs w:val="28"/>
    </w:rPr>
  </w:style>
  <w:style w:type="paragraph" w:styleId="946">
    <w:name w:val="Указатель (user)"/>
    <w:basedOn w:val="871"/>
    <w:qFormat/>
    <w:pPr>
      <w:suppressLineNumbers/>
    </w:pPr>
    <w:rPr>
      <w:rFonts w:ascii="PTAstra Serif" w:hAnsi="PTAstra Serif"/>
    </w:rPr>
  </w:style>
  <w:style w:type="paragraph" w:styleId="947">
    <w:name w:val="Title"/>
    <w:basedOn w:val="871"/>
    <w:next w:val="941"/>
    <w:uiPriority w:val="99"/>
    <w:qFormat/>
    <w:pPr>
      <w:contextualSpacing/>
      <w:jc w:val="center"/>
      <w:spacing w:before="120" w:after="300"/>
      <w:outlineLvl w:val="0"/>
    </w:pPr>
    <w:rPr>
      <w:b/>
      <w:spacing w:val="5"/>
      <w:sz w:val="28"/>
      <w:szCs w:val="52"/>
    </w:rPr>
  </w:style>
  <w:style w:type="paragraph" w:styleId="948">
    <w:name w:val="index heading"/>
    <w:basedOn w:val="871"/>
    <w:qFormat/>
    <w:pPr>
      <w:suppressLineNumbers/>
    </w:pPr>
    <w:rPr>
      <w:rFonts w:cs="Arial"/>
    </w:rPr>
  </w:style>
  <w:style w:type="paragraph" w:styleId="949" w:customStyle="1">
    <w:name w:val="Знак сноски11"/>
    <w:basedOn w:val="871"/>
    <w:uiPriority w:val="99"/>
    <w:qFormat/>
    <w:pPr>
      <w:spacing w:before="0" w:after="200"/>
    </w:pPr>
    <w:rPr>
      <w:vertAlign w:val="superscript"/>
      <w:lang w:eastAsia="en-US"/>
    </w:rPr>
  </w:style>
  <w:style w:type="paragraph" w:styleId="950">
    <w:name w:val="Balloon Text"/>
    <w:basedOn w:val="871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951">
    <w:name w:val="footnote text"/>
    <w:basedOn w:val="871"/>
    <w:link w:val="905"/>
  </w:style>
  <w:style w:type="paragraph" w:styleId="952" w:customStyle="1">
    <w:name w:val="Header and Footer"/>
    <w:basedOn w:val="871"/>
    <w:qFormat/>
  </w:style>
  <w:style w:type="paragraph" w:styleId="953">
    <w:name w:val="Header"/>
    <w:basedOn w:val="871"/>
    <w:uiPriority w:val="99"/>
    <w:qFormat/>
    <w:pPr>
      <w:jc w:val="center"/>
      <w:tabs>
        <w:tab w:val="clear" w:pos="708" w:leader="none"/>
        <w:tab w:val="center" w:pos="4677" w:leader="none"/>
        <w:tab w:val="right" w:pos="9355" w:leader="none"/>
      </w:tabs>
    </w:pPr>
    <w:rPr>
      <w:sz w:val="16"/>
    </w:rPr>
  </w:style>
  <w:style w:type="paragraph" w:styleId="954">
    <w:name w:val="Body Text Indent"/>
    <w:basedOn w:val="871"/>
    <w:uiPriority w:val="99"/>
    <w:unhideWhenUsed/>
    <w:qFormat/>
    <w:pPr>
      <w:ind w:left="283"/>
      <w:spacing w:before="0" w:after="120"/>
      <w:widowControl w:val="off"/>
    </w:pPr>
    <w:rPr>
      <w:lang w:val="zh-CN" w:eastAsia="zh-CN"/>
    </w:rPr>
  </w:style>
  <w:style w:type="paragraph" w:styleId="955">
    <w:name w:val="Footer"/>
    <w:basedOn w:val="871"/>
    <w:uiPriority w:val="99"/>
    <w:qFormat/>
    <w:pPr>
      <w:jc w:val="center"/>
      <w:tabs>
        <w:tab w:val="clear" w:pos="708" w:leader="none"/>
        <w:tab w:val="center" w:pos="4677" w:leader="none"/>
        <w:tab w:val="right" w:pos="9355" w:leader="none"/>
      </w:tabs>
    </w:pPr>
    <w:rPr>
      <w:sz w:val="16"/>
    </w:rPr>
  </w:style>
  <w:style w:type="paragraph" w:styleId="956">
    <w:name w:val="HTML Preformatted"/>
    <w:basedOn w:val="871"/>
    <w:uiPriority w:val="99"/>
    <w:unhideWhenUsed/>
    <w:qFormat/>
    <w:rPr>
      <w:rFonts w:ascii="Consolas" w:hAnsi="Consolas"/>
    </w:rPr>
  </w:style>
  <w:style w:type="paragraph" w:styleId="957" w:customStyle="1">
    <w:name w:val="Normal unindented"/>
    <w:uiPriority w:val="99"/>
    <w:qFormat/>
    <w:pPr>
      <w:jc w:val="both"/>
      <w:spacing w:before="120" w:after="120" w:line="276" w:lineRule="auto"/>
      <w:widowControl/>
    </w:pPr>
    <w:rPr>
      <w:rFonts w:ascii="Times New Roman" w:hAnsi="Times New Roman" w:eastAsia="Times New Roman" w:cs="Times New Roman"/>
      <w:color w:val="auto"/>
      <w:sz w:val="22"/>
      <w:szCs w:val="22"/>
      <w:lang w:val="ru-RU" w:eastAsia="ru-RU" w:bidi="ar-SA"/>
    </w:rPr>
  </w:style>
  <w:style w:type="paragraph" w:styleId="958" w:customStyle="1">
    <w:name w:val="heading 1 normal"/>
    <w:basedOn w:val="871"/>
    <w:uiPriority w:val="99"/>
    <w:qFormat/>
    <w:pPr>
      <w:outlineLvl w:val="0"/>
    </w:pPr>
  </w:style>
  <w:style w:type="paragraph" w:styleId="959" w:customStyle="1">
    <w:name w:val="Warning"/>
    <w:basedOn w:val="871"/>
    <w:uiPriority w:val="99"/>
    <w:qFormat/>
    <w:rPr>
      <w:i/>
      <w:iCs/>
      <w:color w:val="e36c0a"/>
    </w:rPr>
  </w:style>
  <w:style w:type="paragraph" w:styleId="960">
    <w:name w:val="List Paragraph"/>
    <w:basedOn w:val="871"/>
    <w:qFormat/>
    <w:pPr>
      <w:contextualSpacing/>
      <w:ind w:left="720"/>
      <w:spacing w:before="120" w:after="120"/>
    </w:pPr>
  </w:style>
  <w:style w:type="paragraph" w:styleId="961">
    <w:name w:val="No Spacing"/>
    <w:qFormat/>
    <w:pPr>
      <w:jc w:val="left"/>
      <w:spacing w:before="0" w:after="0"/>
      <w:widowControl/>
    </w:pPr>
    <w:rPr>
      <w:rFonts w:ascii="Calibri" w:hAnsi="Calibri" w:eastAsia="Calibri" w:cs="Calibri" w:asciiTheme="minorHAnsi" w:hAnsiTheme="minorHAnsi" w:eastAsiaTheme="minorHAnsi"/>
      <w:color w:val="auto"/>
      <w:sz w:val="22"/>
      <w:szCs w:val="22"/>
      <w:lang w:val="ru-RU" w:eastAsia="en-US" w:bidi="ar-SA"/>
    </w:rPr>
  </w:style>
  <w:style w:type="paragraph" w:styleId="962" w:customStyle="1">
    <w:name w:val="Маркер1"/>
    <w:basedOn w:val="871"/>
    <w:qFormat/>
    <w:pPr>
      <w:spacing w:before="120" w:after="0" w:line="300" w:lineRule="atLeast"/>
      <w:widowControl w:val="off"/>
      <w:tabs>
        <w:tab w:val="left" w:pos="360" w:leader="none"/>
        <w:tab w:val="clear" w:pos="708" w:leader="none"/>
      </w:tabs>
    </w:pPr>
    <w:rPr>
      <w:sz w:val="24"/>
      <w:lang w:eastAsia="zh-CN"/>
    </w:rPr>
  </w:style>
  <w:style w:type="paragraph" w:styleId="963" w:customStyle="1">
    <w:name w:val="Письмо"/>
    <w:basedOn w:val="871"/>
    <w:qFormat/>
    <w:pPr>
      <w:ind w:firstLine="720"/>
      <w:spacing w:line="320" w:lineRule="exact"/>
    </w:pPr>
    <w:rPr>
      <w:sz w:val="28"/>
      <w:szCs w:val="28"/>
    </w:rPr>
  </w:style>
  <w:style w:type="paragraph" w:styleId="964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Calibri" w:cs="Times New Roman" w:eastAsiaTheme="minorHAnsi"/>
      <w:color w:val="auto"/>
      <w:sz w:val="22"/>
      <w:szCs w:val="22"/>
      <w:lang w:val="ru-RU" w:eastAsia="en-US" w:bidi="ar-SA"/>
    </w:rPr>
  </w:style>
  <w:style w:type="paragraph" w:styleId="965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2"/>
      <w:szCs w:val="20"/>
      <w:lang w:val="ru-RU" w:eastAsia="ru-RU" w:bidi="ar-SA"/>
    </w:rPr>
  </w:style>
  <w:style w:type="paragraph" w:styleId="966" w:customStyle="1">
    <w:name w:val="Style7"/>
    <w:basedOn w:val="871"/>
    <w:qFormat/>
    <w:pPr>
      <w:jc w:val="right"/>
      <w:spacing w:line="254" w:lineRule="exact"/>
      <w:widowControl w:val="off"/>
    </w:pPr>
    <w:rPr>
      <w:rFonts w:eastAsia="Calibri"/>
      <w:sz w:val="24"/>
      <w:szCs w:val="24"/>
      <w:lang w:eastAsia="ar-SA"/>
    </w:rPr>
  </w:style>
  <w:style w:type="paragraph" w:styleId="967" w:customStyle="1">
    <w:name w:val="обычный"/>
    <w:basedOn w:val="871"/>
    <w:qFormat/>
    <w:rPr>
      <w:color w:val="000000"/>
    </w:rPr>
  </w:style>
  <w:style w:type="paragraph" w:styleId="968" w:customStyle="1">
    <w:name w:val="Обычный без отступа"/>
    <w:basedOn w:val="871"/>
    <w:qFormat/>
    <w:rPr>
      <w:sz w:val="24"/>
      <w:szCs w:val="24"/>
      <w:lang w:eastAsia="en-US"/>
    </w:rPr>
  </w:style>
  <w:style w:type="paragraph" w:styleId="969" w:customStyle="1">
    <w:name w:val="Знак"/>
    <w:basedOn w:val="871"/>
    <w:qFormat/>
    <w:pPr>
      <w:spacing w:before="0"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70" w:customStyle="1">
    <w:name w:val="Style6"/>
    <w:basedOn w:val="871"/>
    <w:qFormat/>
    <w:pPr>
      <w:ind w:firstLine="454"/>
      <w:spacing w:line="204" w:lineRule="exact"/>
      <w:widowControl w:val="off"/>
    </w:pPr>
    <w:rPr>
      <w:sz w:val="24"/>
      <w:szCs w:val="24"/>
    </w:rPr>
  </w:style>
  <w:style w:type="paragraph" w:styleId="971" w:customStyle="1">
    <w:name w:val="Стиль полужирный По центру"/>
    <w:basedOn w:val="871"/>
    <w:qFormat/>
    <w:pPr>
      <w:jc w:val="center"/>
    </w:pPr>
    <w:rPr>
      <w:b/>
      <w:bCs/>
      <w:sz w:val="24"/>
    </w:rPr>
  </w:style>
  <w:style w:type="paragraph" w:styleId="972" w:customStyle="1">
    <w:name w:val="Style3"/>
    <w:basedOn w:val="871"/>
    <w:qFormat/>
    <w:pPr>
      <w:widowControl w:val="off"/>
    </w:pPr>
    <w:rPr>
      <w:sz w:val="24"/>
      <w:szCs w:val="24"/>
    </w:rPr>
  </w:style>
  <w:style w:type="paragraph" w:styleId="973" w:customStyle="1">
    <w:name w:val="Style4"/>
    <w:basedOn w:val="871"/>
    <w:qFormat/>
    <w:pPr>
      <w:ind w:hanging="509"/>
      <w:spacing w:line="278" w:lineRule="exact"/>
      <w:widowControl w:val="off"/>
    </w:pPr>
    <w:rPr>
      <w:sz w:val="24"/>
      <w:szCs w:val="24"/>
    </w:rPr>
  </w:style>
  <w:style w:type="paragraph" w:styleId="974" w:customStyle="1">
    <w:name w:val="Обычный.Нормальный абзац"/>
    <w:qFormat/>
    <w:pPr>
      <w:ind w:firstLine="709"/>
      <w:jc w:val="both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4"/>
      <w:szCs w:val="20"/>
      <w:lang w:val="ru-RU" w:eastAsia="ru-RU" w:bidi="ar-SA"/>
    </w:rPr>
  </w:style>
  <w:style w:type="paragraph" w:styleId="975" w:customStyle="1">
    <w:name w:val="Style22"/>
    <w:basedOn w:val="871"/>
    <w:qFormat/>
    <w:pPr>
      <w:ind w:firstLine="2549"/>
      <w:spacing w:line="269" w:lineRule="exact"/>
      <w:widowControl w:val="off"/>
    </w:pPr>
    <w:rPr>
      <w:sz w:val="24"/>
      <w:szCs w:val="24"/>
      <w:lang w:eastAsia="ar-SA"/>
    </w:rPr>
  </w:style>
  <w:style w:type="paragraph" w:styleId="976" w:customStyle="1">
    <w:name w:val="Style52"/>
    <w:basedOn w:val="871"/>
    <w:qFormat/>
    <w:pPr>
      <w:ind w:firstLine="600"/>
      <w:spacing w:line="281" w:lineRule="exact"/>
      <w:widowControl w:val="off"/>
    </w:pPr>
    <w:rPr>
      <w:sz w:val="24"/>
      <w:szCs w:val="24"/>
    </w:rPr>
  </w:style>
  <w:style w:type="paragraph" w:styleId="977" w:customStyle="1">
    <w:name w:val="s_1"/>
    <w:basedOn w:val="871"/>
    <w:qFormat/>
    <w:pPr>
      <w:spacing w:beforeAutospacing="1" w:afterAutospacing="1"/>
    </w:pPr>
    <w:rPr>
      <w:sz w:val="24"/>
      <w:szCs w:val="24"/>
    </w:rPr>
  </w:style>
  <w:style w:type="paragraph" w:styleId="978" w:customStyle="1">
    <w:name w:val="Содержимое таблицы"/>
    <w:basedOn w:val="871"/>
    <w:qFormat/>
    <w:pPr>
      <w:widowControl w:val="off"/>
      <w:suppressLineNumbers/>
    </w:pPr>
  </w:style>
  <w:style w:type="paragraph" w:styleId="979" w:customStyle="1">
    <w:name w:val="Заголовок таблицы"/>
    <w:basedOn w:val="978"/>
    <w:qFormat/>
    <w:pPr>
      <w:jc w:val="center"/>
    </w:pPr>
    <w:rPr>
      <w:b/>
      <w:bCs/>
    </w:rPr>
  </w:style>
  <w:style w:type="paragraph" w:styleId="980">
    <w:name w:val="List Number"/>
    <w:basedOn w:val="871"/>
    <w:qFormat/>
    <w:pPr>
      <w:numPr>
        <w:ilvl w:val="0"/>
        <w:numId w:val="2"/>
      </w:numPr>
    </w:pPr>
    <w:rPr>
      <w:rFonts w:cs="Mangal"/>
      <w:szCs w:val="21"/>
    </w:rPr>
  </w:style>
  <w:style w:type="paragraph" w:styleId="981" w:customStyle="1">
    <w:name w:val="Default"/>
    <w:qFormat/>
    <w:pPr>
      <w:jc w:val="left"/>
      <w:spacing w:before="0" w:after="0"/>
      <w:widowControl/>
    </w:pPr>
    <w:rPr>
      <w:rFonts w:ascii="Calibri" w:hAnsi="Calibri" w:eastAsia="Times New Roman" w:cs="Calibri"/>
      <w:color w:val="000000"/>
      <w:sz w:val="20"/>
      <w:szCs w:val="20"/>
      <w:lang w:val="ru-RU" w:eastAsia="ru-RU" w:bidi="ar-SA"/>
    </w:rPr>
  </w:style>
  <w:style w:type="paragraph" w:styleId="982" w:customStyle="1">
    <w:name w:val="Standard"/>
    <w:qFormat/>
    <w:pPr>
      <w:jc w:val="left"/>
      <w:spacing w:before="0" w:after="0"/>
      <w:widowControl/>
    </w:pPr>
    <w:rPr>
      <w:rFonts w:ascii="Liberation Serif" w:hAnsi="Liberation Serif" w:eastAsia="NSimSun" w:cs="Arial"/>
      <w:color w:val="auto"/>
      <w:sz w:val="24"/>
      <w:szCs w:val="24"/>
      <w:lang w:val="ru-RU" w:eastAsia="zh-CN" w:bidi="hi-IN"/>
    </w:rPr>
  </w:style>
  <w:style w:type="paragraph" w:styleId="983" w:customStyle="1">
    <w:name w:val="Standard1"/>
    <w:qFormat/>
    <w:pPr>
      <w:jc w:val="left"/>
      <w:spacing w:before="0" w:after="0"/>
      <w:widowControl/>
    </w:pPr>
    <w:rPr>
      <w:rFonts w:ascii="Calibri" w:hAnsi="Calibri" w:eastAsia="SimSun" w:cs="Tahoma" w:asciiTheme="minorHAnsi" w:hAnsiTheme="minorHAnsi"/>
      <w:color w:val="auto"/>
      <w:sz w:val="20"/>
      <w:szCs w:val="20"/>
      <w:lang w:val="ru-RU" w:eastAsia="ru-RU" w:bidi="ar-SA"/>
    </w:rPr>
  </w:style>
  <w:style w:type="paragraph" w:styleId="984">
    <w:name w:val="Содержимое таблицы (user)"/>
    <w:basedOn w:val="871"/>
    <w:qFormat/>
    <w:pPr>
      <w:widowControl w:val="off"/>
      <w:suppressLineNumbers/>
    </w:pPr>
  </w:style>
  <w:style w:type="paragraph" w:styleId="985">
    <w:name w:val="Заголовок таблицы (user)"/>
    <w:basedOn w:val="984"/>
    <w:qFormat/>
    <w:pPr>
      <w:jc w:val="center"/>
      <w:suppressLineNumbers/>
    </w:pPr>
    <w:rPr>
      <w:b/>
      <w:bCs/>
    </w:rPr>
  </w:style>
  <w:style w:type="numbering" w:styleId="986" w:customStyle="1">
    <w:name w:val="Без списка"/>
    <w:uiPriority w:val="99"/>
    <w:semiHidden/>
    <w:unhideWhenUsed/>
    <w:qFormat/>
  </w:style>
  <w:style w:type="numbering" w:styleId="987" w:customStyle="1">
    <w:name w:val="LFO85"/>
    <w:qFormat/>
  </w:style>
  <w:style w:type="table" w:styleId="98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89">
    <w:name w:val="Table Grid"/>
    <w:basedOn w:val="988"/>
    <w:uiPriority w:val="9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0" w:customStyle="1">
    <w:name w:val="Сетка таблицы1"/>
    <w:basedOn w:val="98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991" w:customStyle="1">
    <w:name w:val="Сетка таблицы2"/>
    <w:basedOn w:val="98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992" w:customStyle="1">
    <w:name w:val="Сетка таблицы9"/>
    <w:basedOn w:val="988"/>
    <w:uiPriority w:val="3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993" w:default="1">
    <w:name w:val="No List"/>
    <w:uiPriority w:val="99"/>
    <w:semiHidden/>
    <w:unhideWhenUsed/>
  </w:style>
  <w:style w:type="character" w:styleId="994" w:customStyle="1">
    <w:name w:val="Основной шрифт абзаца"/>
    <w:qFormat/>
  </w:style>
  <w:style w:type="paragraph" w:styleId="995" w:customStyle="1">
    <w:name w:val="Standard2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;Times New Roman" w:hAnsi="Liberation Serif;Times New Roman" w:eastAsia="NSimSun" w:cs="Arial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shd w:val="clear" w:color="auto" w:fill="auto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hyperlink" Target="consultantplus://offline/ref=BAA57F9A88C66CFCC720A999A759A1BC83968EAF5013C05B682F8D8F43023CC8C60047D7825AA88E3F1F6BD2BA53XAP" TargetMode="External"/><Relationship Id="rId15" Type="http://schemas.openxmlformats.org/officeDocument/2006/relationships/hyperlink" Target="consultantplus://offline/ref=BAA57F9A88C66CFCC720A999A759A1BC83968EAF5013C05B682F8D8F43023CC8C60047D7825AA88E3F1F6BD2BA53XAP" TargetMode="External"/><Relationship Id="rId16" Type="http://schemas.openxmlformats.org/officeDocument/2006/relationships/hyperlink" Target="consultantplus://offline/ref=BAA57F9A88C66CFCC720A999A759A1BC83968EAF5013C05B682F8D8F43023CC8D4001FDB825FB58C320A3D83FC6F8D75B5F9B3B9888159BE5FX3P" TargetMode="External"/><Relationship Id="rId17" Type="http://schemas.openxmlformats.org/officeDocument/2006/relationships/hyperlink" Target="consultantplus://offline/ref=BAA57F9A88C66CFCC720A999A759A1BC83968EAF5013C05B682F8D8F43023CC8D4001FDB825FB58A350A3D83FC6F8D75B5F9B3B9888159BE5FX3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D5BF4-3B88-4580-862B-B6FC87F1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ДИЗО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dc:description/>
  <dc:language>ru-RU</dc:language>
  <cp:lastModifiedBy>oz1</cp:lastModifiedBy>
  <cp:revision>6</cp:revision>
  <dcterms:created xsi:type="dcterms:W3CDTF">2025-10-23T08:52:00Z</dcterms:created>
  <dcterms:modified xsi:type="dcterms:W3CDTF">2026-10-26T08:21:51Z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3897417C94B149AE83554B15DF4E126E_12</vt:lpwstr>
  </property>
  <property fmtid="{D5CDD505-2E9C-101B-9397-08002B2CF9AE}" pid="4" name="KSOProductBuildVer">
    <vt:lpwstr>1049-12.2.0.13201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