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567"/>
        <w:jc w:val="center"/>
        <w:widowControl/>
        <w:rPr>
          <w:b/>
          <w:bCs/>
          <w:sz w:val="24"/>
          <w:szCs w:val="24"/>
          <w:highlight w:val="none"/>
        </w:rPr>
      </w:pPr>
      <w:r>
        <w:rPr>
          <w:b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67"/>
        <w:jc w:val="center"/>
        <w:widowControl/>
        <w:rPr>
          <w:b/>
          <w:bCs/>
          <w:sz w:val="24"/>
          <w:szCs w:val="24"/>
          <w:highlight w:val="none"/>
        </w:rPr>
      </w:pPr>
      <w:r>
        <w:rPr>
          <w:b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67"/>
        <w:jc w:val="center"/>
        <w:widowControl/>
        <w:rPr>
          <w:b/>
          <w:bCs/>
          <w:sz w:val="24"/>
          <w:szCs w:val="24"/>
          <w:highlight w:val="none"/>
        </w:rPr>
      </w:pPr>
      <w:r>
        <w:rPr>
          <w:b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67"/>
        <w:jc w:val="center"/>
        <w:widowControl/>
        <w:rPr>
          <w:b/>
          <w:bCs/>
          <w:sz w:val="24"/>
          <w:szCs w:val="24"/>
          <w:highlight w:val="none"/>
        </w:rPr>
      </w:pPr>
      <w:r>
        <w:rPr>
          <w:b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67"/>
        <w:jc w:val="center"/>
        <w:widowControl/>
        <w:rPr>
          <w:b/>
          <w:bCs/>
          <w:sz w:val="24"/>
          <w:szCs w:val="24"/>
          <w:highlight w:val="none"/>
        </w:rPr>
      </w:pPr>
      <w:r>
        <w:rPr>
          <w:b/>
          <w:sz w:val="24"/>
          <w:szCs w:val="24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5901690</wp:posOffset>
                </wp:positionH>
                <wp:positionV relativeFrom="paragraph">
                  <wp:posOffset>-169544</wp:posOffset>
                </wp:positionV>
                <wp:extent cx="781050" cy="368300"/>
                <wp:effectExtent l="0" t="0" r="0" b="0"/>
                <wp:wrapNone/>
                <wp:docPr id="1" name="_x0000_s10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781050" cy="36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44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-ФЗ</w:t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</w:r>
                            <w:r>
                              <w:rPr>
                                <w:b/>
                                <w:color w:val="ff0000"/>
                                <w:sz w:val="28"/>
                              </w:rPr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251658240;o:allowoverlap:true;o:allowincell:true;mso-position-horizontal-relative:text;margin-left:464.70pt;mso-position-horizontal:absolute;mso-position-vertical-relative:text;margin-top:-13.35pt;mso-position-vertical:absolute;width:61.50pt;height:29.00pt;mso-wrap-distance-left:9.00pt;mso-wrap-distance-top:0.00pt;mso-wrap-distance-right:9.00pt;mso-wrap-distance-bottom:0.00pt;visibility:visible;" fillcolor="#FFFFFF" strokecolor="#000000">
                <v:textbox inset="0,0,0,0">
                  <w:txbxContent>
                    <w:p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>
                        <w:rPr>
                          <w:b/>
                          <w:color w:val="ff0000"/>
                          <w:sz w:val="28"/>
                        </w:rPr>
                        <w:t xml:space="preserve">44</w:t>
                      </w:r>
                      <w:r>
                        <w:rPr>
                          <w:b/>
                          <w:color w:val="ff0000"/>
                          <w:sz w:val="28"/>
                        </w:rPr>
                        <w:t xml:space="preserve">-ФЗ</w:t>
                      </w:r>
                      <w:r>
                        <w:rPr>
                          <w:b/>
                          <w:color w:val="ff0000"/>
                          <w:sz w:val="28"/>
                        </w:rPr>
                      </w:r>
                      <w:r>
                        <w:rPr>
                          <w:b/>
                          <w:color w:val="ff0000"/>
                          <w:sz w:val="28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4"/>
          <w:szCs w:val="24"/>
        </w:rPr>
        <w:t xml:space="preserve">Запрос </w:t>
      </w:r>
      <w:r>
        <w:rPr>
          <w:b/>
          <w:bCs/>
          <w:sz w:val="24"/>
          <w:szCs w:val="24"/>
          <w:highlight w:val="none"/>
        </w:rPr>
      </w:r>
      <w:r>
        <w:rPr>
          <w:b/>
          <w:bCs/>
          <w:sz w:val="24"/>
          <w:szCs w:val="24"/>
          <w:highlight w:val="none"/>
        </w:rPr>
      </w:r>
    </w:p>
    <w:p>
      <w:pPr>
        <w:ind w:firstLine="567"/>
        <w:jc w:val="center"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предоставлении ценовой информации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567"/>
        <w:jc w:val="center"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в целях анализа рынка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567"/>
        <w:jc w:val="center"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567"/>
        <w:jc w:val="both"/>
        <w:rPr>
          <w:b/>
          <w:bCs/>
          <w:i/>
          <w:iCs/>
          <w:color w:val="auto"/>
          <w:sz w:val="24"/>
          <w:szCs w:val="24"/>
        </w:rPr>
      </w:pPr>
      <w:r>
        <w:rPr>
          <w:sz w:val="24"/>
          <w:szCs w:val="24"/>
        </w:rPr>
        <w:t xml:space="preserve">1.Заказчик</w:t>
      </w:r>
      <w:r>
        <w:rPr>
          <w:sz w:val="24"/>
          <w:szCs w:val="24"/>
        </w:rPr>
        <w:t xml:space="preserve"> - </w:t>
      </w:r>
      <w:r>
        <w:rPr>
          <w:b/>
          <w:sz w:val="24"/>
          <w:szCs w:val="24"/>
        </w:rPr>
        <w:t xml:space="preserve">Государственное бюджетное учреждение Владимирской области «Центр безопасности дорожного движения Владимирской области» </w:t>
      </w:r>
      <w:r>
        <w:rPr>
          <w:b/>
          <w:i/>
          <w:sz w:val="24"/>
          <w:szCs w:val="24"/>
        </w:rPr>
        <w:t xml:space="preserve">- </w:t>
      </w:r>
      <w:r>
        <w:rPr>
          <w:sz w:val="24"/>
          <w:szCs w:val="24"/>
        </w:rPr>
        <w:t xml:space="preserve">проводит запрос ценовой информации в целях анализа рынка, получения информации о рыночных ценах товаров (работ, услуг) и определения наименьшей цены предложения</w:t>
      </w:r>
      <w:r>
        <w:rPr>
          <w:sz w:val="24"/>
          <w:szCs w:val="24"/>
        </w:rPr>
        <w:t xml:space="preserve"> (далее – Запрос цен)</w:t>
      </w:r>
      <w:r>
        <w:rPr>
          <w:sz w:val="24"/>
          <w:szCs w:val="24"/>
        </w:rPr>
        <w:t xml:space="preserve">, </w:t>
      </w:r>
      <w:r>
        <w:rPr>
          <w:b/>
          <w:sz w:val="24"/>
          <w:szCs w:val="24"/>
          <w:u w:val="single"/>
        </w:rPr>
        <w:t xml:space="preserve">с намерением заключить контракт</w:t>
      </w:r>
      <w:r>
        <w:rPr>
          <w:sz w:val="24"/>
          <w:szCs w:val="24"/>
        </w:rPr>
        <w:t xml:space="preserve"> с участником процедуры, предложившим такую наименьшую цену, и приглашает юридических лиц и индивидуальных предпринимателей (далее — Участники) подавать свои </w:t>
      </w:r>
      <w:r>
        <w:rPr>
          <w:color w:val="ff0000"/>
          <w:sz w:val="24"/>
          <w:szCs w:val="24"/>
        </w:rPr>
        <w:t xml:space="preserve">предложения о цене</w:t>
      </w:r>
      <w:r>
        <w:rPr>
          <w:b/>
          <w:i/>
          <w:color w:val="ff0000"/>
          <w:sz w:val="24"/>
          <w:szCs w:val="24"/>
        </w:rPr>
        <w:t xml:space="preserve">:</w:t>
      </w:r>
      <w:r>
        <w:rPr>
          <w:b/>
          <w:i/>
          <w:sz w:val="24"/>
          <w:szCs w:val="24"/>
        </w:rPr>
        <w:t xml:space="preserve"> передача срочного неисключительного права на ПО Эконом-Эксперт. Онлайн, до 2-х пользователей, 1 год</w:t>
      </w:r>
      <w:r>
        <w:rPr>
          <w:b/>
          <w:i/>
          <w:color w:val="auto"/>
          <w:sz w:val="24"/>
          <w:szCs w:val="24"/>
        </w:rPr>
        <w:t xml:space="preserve"> </w:t>
      </w:r>
      <w:r>
        <w:rPr>
          <w:b/>
          <w:i/>
          <w:color w:val="auto"/>
          <w:sz w:val="24"/>
          <w:szCs w:val="24"/>
        </w:rPr>
        <w:t xml:space="preserve">(44-ФЗ)</w:t>
      </w:r>
      <w:r>
        <w:rPr>
          <w:b/>
          <w:bCs/>
          <w:i/>
          <w:iCs/>
          <w:color w:val="auto"/>
          <w:sz w:val="24"/>
          <w:szCs w:val="24"/>
        </w:rPr>
      </w:r>
      <w:r>
        <w:rPr>
          <w:b/>
          <w:bCs/>
          <w:i/>
          <w:iCs/>
          <w:color w:val="auto"/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Количество, требования к качеству, функциональным характеристикам (потребительским свойствам) представлены в </w:t>
      </w:r>
      <w:r>
        <w:rPr>
          <w:sz w:val="24"/>
          <w:szCs w:val="24"/>
        </w:rPr>
        <w:t xml:space="preserve">Проекте Контракта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>
        <w:rPr>
          <w:sz w:val="24"/>
          <w:szCs w:val="24"/>
        </w:rPr>
        <w:t xml:space="preserve">Цена должна включать в себя стоимость товара, все налоги и дру</w:t>
      </w:r>
      <w:r>
        <w:rPr>
          <w:sz w:val="24"/>
          <w:szCs w:val="24"/>
        </w:rPr>
        <w:t xml:space="preserve">гие обязательные платежи, стоимость всех сопутствующих услуг, в том числе транспортные расходы, страхование, сборку, оформление сертификатов, паспортов и иные расходы Участника, а также все скидки, предлагаемые Участником.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b/>
          <w:color w:val="auto"/>
          <w:sz w:val="24"/>
          <w:szCs w:val="24"/>
          <w:u w:val="single"/>
        </w:rPr>
      </w:pPr>
      <w:r>
        <w:rPr>
          <w:b/>
          <w:color w:val="ff0000"/>
          <w:sz w:val="24"/>
          <w:szCs w:val="24"/>
        </w:rPr>
        <w:t xml:space="preserve">Цена не должна превышать</w:t>
      </w:r>
      <w:r>
        <w:rPr>
          <w:b/>
          <w:color w:val="ff0000"/>
          <w:sz w:val="24"/>
          <w:szCs w:val="24"/>
        </w:rPr>
        <w:t xml:space="preserve">: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61 500</w:t>
      </w:r>
      <w:r>
        <w:rPr>
          <w:b/>
          <w:bCs/>
          <w:i/>
          <w:iCs/>
          <w:color w:val="auto"/>
          <w:sz w:val="24"/>
          <w:szCs w:val="24"/>
          <w:shd w:val="clear" w:color="auto" w:fill="ffffff"/>
        </w:rPr>
        <w:t xml:space="preserve"> </w:t>
      </w:r>
      <w:r>
        <w:rPr>
          <w:b/>
          <w:i/>
          <w:color w:val="auto"/>
          <w:sz w:val="24"/>
          <w:szCs w:val="24"/>
        </w:rPr>
        <w:t xml:space="preserve">(шестьдесят одна тысяча пятьсот</w:t>
      </w:r>
      <w:r>
        <w:rPr>
          <w:b/>
          <w:i/>
          <w:color w:val="auto"/>
          <w:sz w:val="24"/>
          <w:szCs w:val="24"/>
        </w:rPr>
        <w:t xml:space="preserve">)</w:t>
      </w:r>
      <w:r>
        <w:rPr>
          <w:b/>
          <w:i/>
          <w:color w:val="auto"/>
          <w:sz w:val="24"/>
          <w:szCs w:val="24"/>
        </w:rPr>
        <w:t xml:space="preserve"> </w:t>
      </w:r>
      <w:r>
        <w:rPr>
          <w:b/>
          <w:i/>
          <w:color w:val="auto"/>
          <w:sz w:val="24"/>
          <w:szCs w:val="24"/>
        </w:rPr>
        <w:t xml:space="preserve">руб</w:t>
      </w:r>
      <w:r>
        <w:rPr>
          <w:b/>
          <w:i/>
          <w:color w:val="auto"/>
          <w:sz w:val="24"/>
          <w:szCs w:val="24"/>
        </w:rPr>
        <w:t xml:space="preserve">. 0</w:t>
      </w:r>
      <w:r>
        <w:rPr>
          <w:b/>
          <w:i/>
          <w:color w:val="auto"/>
          <w:sz w:val="24"/>
          <w:szCs w:val="24"/>
        </w:rPr>
        <w:t xml:space="preserve">0</w:t>
      </w:r>
      <w:r>
        <w:rPr>
          <w:b/>
          <w:i/>
          <w:color w:val="auto"/>
          <w:sz w:val="24"/>
          <w:szCs w:val="24"/>
        </w:rPr>
        <w:t xml:space="preserve"> коп.</w:t>
      </w:r>
      <w:r>
        <w:rPr>
          <w:b/>
          <w:color w:val="auto"/>
          <w:sz w:val="24"/>
          <w:szCs w:val="24"/>
          <w:u w:val="single"/>
        </w:rPr>
      </w:r>
      <w:r>
        <w:rPr>
          <w:b/>
          <w:color w:val="auto"/>
          <w:sz w:val="24"/>
          <w:szCs w:val="24"/>
          <w:u w:val="single"/>
        </w:rPr>
      </w:r>
    </w:p>
    <w:p>
      <w:pPr>
        <w:ind w:firstLine="450"/>
        <w:jc w:val="both"/>
        <w:rPr>
          <w:iCs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 xml:space="preserve">  3. </w:t>
      </w:r>
      <w:r>
        <w:rPr>
          <w:iCs/>
          <w:color w:val="ff0000"/>
          <w:sz w:val="24"/>
          <w:szCs w:val="24"/>
        </w:rPr>
        <w:t xml:space="preserve">Место поставки Товара:</w:t>
      </w:r>
      <w:r>
        <w:rPr>
          <w:iCs/>
          <w:sz w:val="24"/>
          <w:szCs w:val="24"/>
        </w:rPr>
        <w:t xml:space="preserve"> по месту нахождения Заказчика</w:t>
      </w:r>
      <w:r>
        <w:rPr>
          <w:iCs/>
          <w:color w:val="000000"/>
          <w:sz w:val="24"/>
          <w:szCs w:val="24"/>
        </w:rPr>
        <w:t xml:space="preserve">.</w:t>
      </w:r>
      <w:r>
        <w:rPr>
          <w:iCs/>
          <w:color w:val="000000"/>
          <w:sz w:val="24"/>
          <w:szCs w:val="24"/>
        </w:rPr>
      </w:r>
      <w:r>
        <w:rPr>
          <w:iCs/>
          <w:color w:val="000000"/>
          <w:sz w:val="24"/>
          <w:szCs w:val="24"/>
        </w:rPr>
      </w:r>
    </w:p>
    <w:p>
      <w:pPr>
        <w:ind w:firstLine="567"/>
        <w:jc w:val="both"/>
        <w:rPr>
          <w:b/>
          <w:i/>
          <w:sz w:val="24"/>
          <w:szCs w:val="24"/>
        </w:rPr>
      </w:pPr>
      <w:r>
        <w:rPr>
          <w:color w:val="ff0000"/>
          <w:sz w:val="24"/>
          <w:szCs w:val="24"/>
        </w:rPr>
        <w:t xml:space="preserve">Предполагаемые сроки заключения контракта</w:t>
      </w:r>
      <w:r>
        <w:rPr>
          <w:color w:val="ff0000"/>
          <w:sz w:val="24"/>
          <w:szCs w:val="24"/>
        </w:rPr>
        <w:t xml:space="preserve">: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октябрь</w:t>
      </w:r>
      <w:r>
        <w:rPr>
          <w:b/>
          <w:bCs/>
          <w:i/>
          <w:sz w:val="24"/>
          <w:szCs w:val="24"/>
        </w:rPr>
        <w:t xml:space="preserve"> </w:t>
      </w:r>
      <w:r>
        <w:rPr>
          <w:b/>
          <w:bCs/>
          <w:i/>
          <w:sz w:val="24"/>
          <w:szCs w:val="24"/>
        </w:rPr>
        <w:t xml:space="preserve">2</w:t>
      </w:r>
      <w:r>
        <w:rPr>
          <w:b/>
          <w:i/>
          <w:sz w:val="24"/>
          <w:szCs w:val="24"/>
        </w:rPr>
        <w:t xml:space="preserve">02</w:t>
      </w:r>
      <w:r>
        <w:rPr>
          <w:b/>
          <w:i/>
          <w:sz w:val="24"/>
          <w:szCs w:val="24"/>
        </w:rPr>
        <w:t xml:space="preserve">6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года</w:t>
      </w:r>
      <w:r>
        <w:rPr>
          <w:b/>
          <w:i/>
          <w:sz w:val="24"/>
          <w:szCs w:val="24"/>
        </w:rPr>
        <w:t xml:space="preserve">.</w:t>
      </w: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</w:p>
    <w:p>
      <w:pPr>
        <w:pStyle w:val="881"/>
        <w:ind w:firstLine="567"/>
        <w:jc w:val="both"/>
        <w:widowControl/>
        <w:tabs>
          <w:tab w:val="left" w:pos="360" w:leader="none"/>
          <w:tab w:val="clear" w:pos="708" w:leader="none"/>
        </w:tabs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Заключение </w:t>
      </w:r>
      <w:r>
        <w:rPr>
          <w:b/>
          <w:i/>
          <w:sz w:val="24"/>
          <w:szCs w:val="24"/>
        </w:rPr>
        <w:t xml:space="preserve">контракт</w:t>
      </w:r>
      <w:r>
        <w:rPr>
          <w:b/>
          <w:i/>
          <w:sz w:val="24"/>
          <w:szCs w:val="24"/>
        </w:rPr>
        <w:t xml:space="preserve">а возможно в форме электронного документа, подписанного электронно-цифровыми подписями лиц уполномоченных действовать от имени Участника закупки и Заказчика с использованием программно-аппаратных средств электронной площадки «</w:t>
      </w:r>
      <w:r>
        <w:rPr>
          <w:b/>
          <w:i/>
          <w:sz w:val="24"/>
          <w:szCs w:val="24"/>
          <w:lang w:val="en-US"/>
        </w:rPr>
        <w:t xml:space="preserve">VladZakupki</w:t>
      </w:r>
      <w:r>
        <w:rPr>
          <w:b/>
          <w:i/>
          <w:sz w:val="24"/>
          <w:szCs w:val="24"/>
        </w:rPr>
        <w:t xml:space="preserve">» или с использованием электронного документооборота или в простой письменной форме.</w:t>
      </w: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</w:p>
    <w:p>
      <w:pPr>
        <w:ind w:firstLine="567"/>
        <w:jc w:val="both"/>
        <w:widowControl/>
        <w:tabs>
          <w:tab w:val="left" w:pos="360" w:leader="none"/>
        </w:tabs>
        <w:rPr>
          <w:b/>
          <w:bCs/>
          <w:i/>
          <w:sz w:val="24"/>
          <w:szCs w:val="24"/>
        </w:rPr>
      </w:pPr>
      <w:r>
        <w:rPr>
          <w:color w:val="ff0000"/>
          <w:sz w:val="24"/>
          <w:szCs w:val="24"/>
        </w:rPr>
        <w:t xml:space="preserve">Предполагаемые сроки передачи прав: </w:t>
      </w:r>
      <w:r>
        <w:rPr>
          <w:b/>
          <w:bCs/>
          <w:sz w:val="24"/>
          <w:szCs w:val="24"/>
        </w:rPr>
        <w:t xml:space="preserve">с</w:t>
      </w:r>
      <w:r>
        <w:rPr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даты заключения контракта в течение 5 рабочих дней.</w:t>
      </w:r>
      <w:r>
        <w:rPr>
          <w:b/>
          <w:bCs/>
          <w:i/>
          <w:sz w:val="24"/>
          <w:szCs w:val="24"/>
        </w:rPr>
      </w:r>
      <w:r>
        <w:rPr>
          <w:b/>
          <w:bCs/>
          <w:i/>
          <w:sz w:val="24"/>
          <w:szCs w:val="24"/>
        </w:rPr>
      </w:r>
    </w:p>
    <w:p>
      <w:pPr>
        <w:ind w:right="-1" w:firstLine="567"/>
        <w:jc w:val="both"/>
        <w:tabs>
          <w:tab w:val="left" w:pos="1134" w:leader="none"/>
        </w:tabs>
        <w:rPr>
          <w:i/>
          <w:sz w:val="24"/>
          <w:szCs w:val="24"/>
        </w:rPr>
      </w:pPr>
      <w:r>
        <w:rPr>
          <w:color w:val="ff0000"/>
          <w:sz w:val="24"/>
          <w:szCs w:val="24"/>
        </w:rPr>
        <w:t xml:space="preserve">4</w:t>
      </w:r>
      <w:r>
        <w:rPr>
          <w:color w:val="ff0000"/>
          <w:sz w:val="24"/>
          <w:szCs w:val="24"/>
        </w:rPr>
        <w:t xml:space="preserve">. Порядок оплаты</w:t>
      </w:r>
      <w:r>
        <w:rPr>
          <w:color w:val="ff0000"/>
          <w:sz w:val="24"/>
          <w:szCs w:val="24"/>
        </w:rPr>
        <w:t xml:space="preserve">:</w:t>
      </w:r>
      <w:r>
        <w:rPr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в течение</w:t>
      </w:r>
      <w:r>
        <w:rPr>
          <w:b/>
          <w:i/>
          <w:sz w:val="24"/>
          <w:szCs w:val="24"/>
        </w:rPr>
        <w:t xml:space="preserve"> 7 </w:t>
      </w:r>
      <w:r>
        <w:rPr>
          <w:b/>
          <w:i/>
          <w:sz w:val="24"/>
          <w:szCs w:val="24"/>
        </w:rPr>
        <w:t xml:space="preserve">(</w:t>
      </w:r>
      <w:r>
        <w:rPr>
          <w:b/>
          <w:i/>
          <w:sz w:val="24"/>
          <w:szCs w:val="24"/>
        </w:rPr>
        <w:t xml:space="preserve">семи</w:t>
      </w:r>
      <w:r>
        <w:rPr>
          <w:b/>
          <w:i/>
          <w:sz w:val="24"/>
          <w:szCs w:val="24"/>
        </w:rPr>
        <w:t xml:space="preserve">)</w:t>
      </w:r>
      <w:r>
        <w:rPr>
          <w:b/>
          <w:i/>
          <w:sz w:val="24"/>
          <w:szCs w:val="24"/>
        </w:rPr>
        <w:t xml:space="preserve"> рабочих </w:t>
      </w:r>
      <w:r>
        <w:rPr>
          <w:b/>
          <w:i/>
          <w:sz w:val="24"/>
          <w:szCs w:val="24"/>
        </w:rPr>
        <w:t xml:space="preserve">дней </w:t>
      </w:r>
      <w:r>
        <w:rPr>
          <w:b/>
          <w:i/>
          <w:sz w:val="24"/>
          <w:szCs w:val="24"/>
        </w:rPr>
        <w:t xml:space="preserve">с даты подписания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заказчиком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документов о приемке</w:t>
      </w:r>
      <w:r>
        <w:rPr>
          <w:b/>
          <w:i/>
          <w:sz w:val="24"/>
          <w:szCs w:val="24"/>
        </w:rPr>
        <w:t xml:space="preserve">.</w:t>
      </w:r>
      <w:r>
        <w:rPr>
          <w:i/>
          <w:sz w:val="24"/>
          <w:szCs w:val="24"/>
        </w:rPr>
      </w:r>
      <w:r>
        <w:rPr>
          <w:i/>
          <w:sz w:val="24"/>
          <w:szCs w:val="24"/>
        </w:rPr>
      </w:r>
    </w:p>
    <w:p>
      <w:pPr>
        <w:ind w:firstLine="567"/>
        <w:jc w:val="both"/>
        <w:widowControl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5</w:t>
      </w:r>
      <w:r>
        <w:rPr>
          <w:sz w:val="24"/>
          <w:szCs w:val="24"/>
        </w:rPr>
        <w:t xml:space="preserve">. Предложение </w:t>
      </w:r>
      <w:r>
        <w:rPr>
          <w:sz w:val="24"/>
          <w:szCs w:val="24"/>
        </w:rPr>
        <w:t xml:space="preserve">рекомендуется направлять</w:t>
      </w:r>
      <w:r>
        <w:rPr>
          <w:sz w:val="24"/>
          <w:szCs w:val="24"/>
        </w:rPr>
        <w:t xml:space="preserve"> по форме, приведенной в </w:t>
      </w:r>
      <w:r>
        <w:rPr>
          <w:b/>
          <w:i/>
          <w:sz w:val="24"/>
          <w:szCs w:val="24"/>
        </w:rPr>
        <w:t xml:space="preserve">П</w:t>
      </w:r>
      <w:r>
        <w:rPr>
          <w:b/>
          <w:i/>
          <w:sz w:val="24"/>
          <w:szCs w:val="24"/>
        </w:rPr>
        <w:t xml:space="preserve">риложении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№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1</w:t>
      </w:r>
      <w:r>
        <w:rPr>
          <w:sz w:val="24"/>
          <w:szCs w:val="24"/>
        </w:rPr>
        <w:t xml:space="preserve"> к настоящему запросу о предоставлении ценовой информации</w:t>
      </w:r>
      <w:r>
        <w:rPr>
          <w:color w:val="000000"/>
          <w:sz w:val="24"/>
          <w:szCs w:val="24"/>
        </w:rPr>
        <w:t xml:space="preserve">.</w:t>
      </w:r>
      <w:r>
        <w:rPr>
          <w:color w:val="000000"/>
          <w:sz w:val="24"/>
          <w:szCs w:val="24"/>
        </w:rPr>
      </w:r>
      <w:r>
        <w:rPr>
          <w:color w:val="000000"/>
          <w:sz w:val="24"/>
          <w:szCs w:val="24"/>
        </w:rPr>
      </w:r>
    </w:p>
    <w:p>
      <w:pPr>
        <w:ind w:firstLine="567"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Предложение должно быть</w:t>
      </w:r>
      <w:r>
        <w:rPr>
          <w:sz w:val="24"/>
          <w:szCs w:val="24"/>
        </w:rPr>
        <w:t xml:space="preserve"> подписано лицом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имеющим право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в соответствии с законодательством Российс</w:t>
      </w:r>
      <w:r>
        <w:rPr>
          <w:sz w:val="24"/>
          <w:szCs w:val="24"/>
        </w:rPr>
        <w:t xml:space="preserve">кой Федерации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действовать от лица </w:t>
      </w:r>
      <w:r>
        <w:rPr>
          <w:sz w:val="24"/>
          <w:szCs w:val="24"/>
        </w:rPr>
        <w:t xml:space="preserve">Участн</w:t>
      </w:r>
      <w:r>
        <w:rPr>
          <w:sz w:val="24"/>
          <w:szCs w:val="24"/>
        </w:rPr>
        <w:t xml:space="preserve">ика без доверенности или надлежащим </w:t>
      </w:r>
      <w:r>
        <w:rPr>
          <w:sz w:val="24"/>
          <w:szCs w:val="24"/>
        </w:rPr>
        <w:t xml:space="preserve">образом,</w:t>
      </w:r>
      <w:r>
        <w:rPr>
          <w:sz w:val="24"/>
          <w:szCs w:val="24"/>
        </w:rPr>
        <w:t xml:space="preserve"> уполномоченным им лицом на о</w:t>
      </w:r>
      <w:r>
        <w:rPr>
          <w:sz w:val="24"/>
          <w:szCs w:val="24"/>
        </w:rPr>
        <w:t xml:space="preserve">сновании доверенности (далее — У</w:t>
      </w:r>
      <w:r>
        <w:rPr>
          <w:sz w:val="24"/>
          <w:szCs w:val="24"/>
        </w:rPr>
        <w:t xml:space="preserve">полномоченное лицо). В последнем случае оригинал доверенности прикладывается к предложению.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Предложение также должно быть скреплено печатью Участника</w:t>
      </w:r>
      <w:r>
        <w:rPr>
          <w:sz w:val="24"/>
          <w:szCs w:val="24"/>
        </w:rPr>
        <w:t xml:space="preserve"> (при наличии)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6</w:t>
      </w:r>
      <w:r>
        <w:rPr>
          <w:sz w:val="24"/>
          <w:szCs w:val="24"/>
        </w:rPr>
        <w:t xml:space="preserve">. Из </w:t>
      </w:r>
      <w:r>
        <w:rPr>
          <w:sz w:val="24"/>
          <w:szCs w:val="24"/>
        </w:rPr>
        <w:t xml:space="preserve">предложения участника</w:t>
      </w:r>
      <w:r>
        <w:rPr>
          <w:sz w:val="24"/>
          <w:szCs w:val="24"/>
        </w:rPr>
        <w:t xml:space="preserve"> должн</w:t>
      </w:r>
      <w:r>
        <w:rPr>
          <w:sz w:val="24"/>
          <w:szCs w:val="24"/>
        </w:rPr>
        <w:t xml:space="preserve">ы</w:t>
      </w:r>
      <w:r>
        <w:rPr>
          <w:sz w:val="24"/>
          <w:szCs w:val="24"/>
        </w:rPr>
        <w:t xml:space="preserve"> однозначно определяться цена единицы </w:t>
      </w:r>
      <w:r>
        <w:rPr>
          <w:b/>
          <w:i/>
          <w:sz w:val="24"/>
          <w:szCs w:val="24"/>
        </w:rPr>
        <w:t xml:space="preserve">товара </w:t>
      </w:r>
      <w:r>
        <w:rPr>
          <w:sz w:val="24"/>
          <w:szCs w:val="24"/>
        </w:rPr>
        <w:t xml:space="preserve">и общая цена контракта</w:t>
      </w:r>
      <w:r>
        <w:rPr>
          <w:sz w:val="24"/>
          <w:szCs w:val="24"/>
        </w:rPr>
        <w:t xml:space="preserve"> на условиях, указанных в запросе, срок действия предлагаемой цены.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7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Предложение должно быть подано Участником </w:t>
      </w:r>
      <w:r>
        <w:rPr>
          <w:sz w:val="24"/>
          <w:szCs w:val="24"/>
          <w:u w:val="single"/>
        </w:rPr>
        <w:br/>
      </w:r>
      <w:r>
        <w:rPr>
          <w:sz w:val="24"/>
          <w:szCs w:val="24"/>
        </w:rPr>
        <w:t xml:space="preserve">в форме электронного документа на электронную площадку </w:t>
      </w:r>
      <w:r>
        <w:rPr>
          <w:b/>
          <w:i/>
          <w:sz w:val="24"/>
          <w:szCs w:val="24"/>
        </w:rPr>
        <w:t xml:space="preserve">«</w:t>
      </w:r>
      <w:r>
        <w:rPr>
          <w:b/>
          <w:i/>
          <w:sz w:val="24"/>
          <w:szCs w:val="24"/>
          <w:lang w:val="en-US"/>
        </w:rPr>
        <w:t xml:space="preserve">VladZakupki</w:t>
      </w:r>
      <w:r>
        <w:rPr>
          <w:b/>
          <w:i/>
          <w:sz w:val="24"/>
          <w:szCs w:val="24"/>
        </w:rPr>
        <w:t xml:space="preserve">»</w:t>
      </w: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 xml:space="preserve">(адрес сайта в сети Интернет: http://vladzakupki.ru)</w:t>
      </w:r>
      <w:r>
        <w:rPr>
          <w:sz w:val="24"/>
          <w:szCs w:val="24"/>
        </w:rPr>
        <w:t xml:space="preserve">. При подаче заявки Участник </w:t>
      </w:r>
      <w:r>
        <w:rPr>
          <w:b/>
          <w:sz w:val="24"/>
          <w:szCs w:val="24"/>
        </w:rPr>
        <w:t xml:space="preserve">обязан указать номер извещения, указанный на вышеуказанном сайте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widowControl/>
        <w:rPr>
          <w:b/>
          <w:i/>
          <w:color w:val="000000" w:themeColor="text1"/>
          <w:sz w:val="24"/>
          <w:szCs w:val="24"/>
          <w:u w:val="single"/>
        </w:rPr>
      </w:pPr>
      <w:r>
        <w:rPr>
          <w:sz w:val="24"/>
          <w:szCs w:val="24"/>
        </w:rPr>
        <w:t xml:space="preserve">Срок подачи ценовой информации:</w:t>
      </w:r>
      <w:r>
        <w:rPr>
          <w:sz w:val="24"/>
          <w:szCs w:val="24"/>
        </w:rPr>
        <w:t xml:space="preserve"> </w:t>
      </w:r>
      <w:r>
        <w:rPr>
          <w:b w:val="0"/>
          <w:bCs w:val="0"/>
          <w:sz w:val="24"/>
          <w:szCs w:val="24"/>
          <w:u w:val="single"/>
        </w:rPr>
        <w:t xml:space="preserve">с </w:t>
      </w:r>
      <w:r>
        <w:rPr>
          <w:b w:val="0"/>
          <w:bCs w:val="0"/>
          <w:i/>
          <w:color w:val="000000" w:themeColor="text1"/>
          <w:sz w:val="22"/>
          <w:szCs w:val="22"/>
          <w:u w:val="single"/>
        </w:rPr>
        <w:t xml:space="preserve">даты размещения до 12 октября 2026 года..</w:t>
      </w:r>
      <w:r>
        <w:rPr>
          <w:b/>
          <w:i/>
          <w:color w:val="000000" w:themeColor="text1"/>
          <w:sz w:val="24"/>
          <w:szCs w:val="24"/>
          <w:u w:val="single"/>
        </w:rPr>
      </w:r>
      <w:r>
        <w:rPr>
          <w:b/>
          <w:i/>
          <w:color w:val="000000" w:themeColor="text1"/>
          <w:sz w:val="24"/>
          <w:szCs w:val="24"/>
          <w:u w:val="single"/>
        </w:rPr>
      </w:r>
    </w:p>
    <w:p>
      <w:pPr>
        <w:ind w:firstLine="567"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8. </w:t>
      </w:r>
      <w:r>
        <w:rPr>
          <w:b/>
          <w:sz w:val="24"/>
          <w:szCs w:val="24"/>
        </w:rPr>
        <w:t xml:space="preserve">Данная процедура </w:t>
      </w:r>
      <w:r>
        <w:rPr>
          <w:b/>
          <w:sz w:val="24"/>
          <w:szCs w:val="24"/>
        </w:rPr>
        <w:t xml:space="preserve">является</w:t>
      </w:r>
      <w:r>
        <w:rPr>
          <w:b/>
          <w:sz w:val="24"/>
          <w:szCs w:val="24"/>
        </w:rPr>
        <w:t xml:space="preserve"> запросом ценовых предложений </w:t>
      </w:r>
      <w:r>
        <w:rPr>
          <w:sz w:val="24"/>
          <w:szCs w:val="24"/>
        </w:rPr>
        <w:t xml:space="preserve">в соответствии с ч. 5 ст. 22 </w:t>
      </w:r>
      <w:r>
        <w:rPr>
          <w:bCs/>
          <w:sz w:val="24"/>
          <w:szCs w:val="24"/>
        </w:rPr>
        <w:t xml:space="preserve">Федерального закона от 05.04.2013 № 44-ФЗ «О контрактной системе в сфере закупок товаров, работ, услуг для обеспечения государственных и муниципальных нужд» </w:t>
      </w:r>
      <w:r>
        <w:rPr>
          <w:b/>
          <w:bCs/>
          <w:sz w:val="24"/>
          <w:szCs w:val="24"/>
        </w:rPr>
        <w:t xml:space="preserve">и может закончиться </w:t>
      </w:r>
      <w:r>
        <w:rPr>
          <w:b/>
          <w:bCs/>
          <w:sz w:val="24"/>
          <w:szCs w:val="24"/>
        </w:rPr>
        <w:t xml:space="preserve">подписанием </w:t>
      </w:r>
      <w:r>
        <w:rPr>
          <w:b/>
          <w:bCs/>
          <w:sz w:val="24"/>
          <w:szCs w:val="24"/>
        </w:rPr>
        <w:t xml:space="preserve">контракта, </w:t>
      </w:r>
      <w:r>
        <w:rPr>
          <w:b/>
          <w:sz w:val="24"/>
          <w:szCs w:val="24"/>
        </w:rPr>
        <w:t xml:space="preserve">в случае принятия Заказчиком такого решения</w:t>
      </w:r>
      <w:r>
        <w:rPr>
          <w:b/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Заказчик проводит указанную процедуру в целях анализа рынка, получения информации о рыночных ценах услуги и определения наименьшей цены предложения </w:t>
      </w:r>
      <w:r>
        <w:rPr>
          <w:b/>
          <w:sz w:val="24"/>
          <w:szCs w:val="24"/>
        </w:rPr>
        <w:t xml:space="preserve">с намерением </w:t>
      </w:r>
      <w:r>
        <w:rPr>
          <w:sz w:val="24"/>
          <w:szCs w:val="24"/>
        </w:rPr>
        <w:t xml:space="preserve">заключить контракт с Участником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2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пред</w:t>
      </w:r>
      <w:r>
        <w:rPr>
          <w:sz w:val="24"/>
          <w:szCs w:val="24"/>
        </w:rPr>
        <w:t xml:space="preserve">ложившим наименьшую цену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2"/>
        <w:numPr>
          <w:ilvl w:val="0"/>
          <w:numId w:val="1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лучшие не</w:t>
      </w:r>
      <w:r>
        <w:rPr>
          <w:sz w:val="24"/>
          <w:szCs w:val="24"/>
        </w:rPr>
        <w:t xml:space="preserve">стоимостные условия;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      3) </w:t>
      </w:r>
      <w:r>
        <w:rPr>
          <w:sz w:val="24"/>
          <w:szCs w:val="24"/>
        </w:rPr>
        <w:t xml:space="preserve">лучшие по совокупности условия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или принимает решение о завершении процедуры запроса цен без заключения контракта.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widowControl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Заказчик оставляет за собой право не заклю</w:t>
      </w:r>
      <w:r>
        <w:rPr>
          <w:b/>
          <w:sz w:val="24"/>
          <w:szCs w:val="24"/>
        </w:rPr>
        <w:t xml:space="preserve">чать контракт.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567"/>
        <w:jc w:val="both"/>
        <w:widowControl/>
        <w:rPr>
          <w:sz w:val="24"/>
          <w:szCs w:val="24"/>
        </w:rPr>
      </w:pPr>
      <w:r>
        <w:rPr>
          <w:sz w:val="24"/>
          <w:szCs w:val="24"/>
        </w:rPr>
        <w:t xml:space="preserve">9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Условия рассмотрения ценовых предложений Участников и их оценка.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рассмотрении ценовых предложений Участников </w:t>
      </w:r>
      <w:r>
        <w:rPr>
          <w:sz w:val="24"/>
          <w:szCs w:val="24"/>
        </w:rPr>
        <w:t xml:space="preserve">Заказчик </w:t>
      </w:r>
      <w:r>
        <w:rPr>
          <w:sz w:val="24"/>
          <w:szCs w:val="24"/>
        </w:rPr>
        <w:t xml:space="preserve">сравни</w:t>
      </w:r>
      <w:r>
        <w:rPr>
          <w:sz w:val="24"/>
          <w:szCs w:val="24"/>
        </w:rPr>
        <w:t xml:space="preserve">вает предложенные </w:t>
      </w:r>
      <w:r>
        <w:rPr>
          <w:sz w:val="24"/>
          <w:szCs w:val="24"/>
        </w:rPr>
        <w:t xml:space="preserve">цен</w:t>
      </w:r>
      <w:r>
        <w:rPr>
          <w:sz w:val="24"/>
          <w:szCs w:val="24"/>
        </w:rPr>
        <w:t xml:space="preserve">ы в случае соответствия участника следующим требованиям: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2"/>
        <w:numPr>
          <w:ilvl w:val="0"/>
          <w:numId w:val="13"/>
        </w:numPr>
        <w:jc w:val="both"/>
        <w:rPr>
          <w:bCs/>
          <w:sz w:val="24"/>
          <w:szCs w:val="24"/>
        </w:rPr>
      </w:pPr>
      <w:r>
        <w:rPr>
          <w:b/>
          <w:sz w:val="24"/>
          <w:szCs w:val="24"/>
        </w:rPr>
        <w:t xml:space="preserve">единые требования</w:t>
      </w:r>
      <w:r>
        <w:rPr>
          <w:b/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 xml:space="preserve">к участникам закупки</w:t>
      </w:r>
      <w:r>
        <w:rPr>
          <w:b/>
          <w:bCs/>
          <w:sz w:val="24"/>
          <w:szCs w:val="24"/>
        </w:rPr>
        <w:t xml:space="preserve"> </w:t>
      </w:r>
      <w:r>
        <w:rPr>
          <w:bCs/>
          <w:sz w:val="24"/>
          <w:szCs w:val="24"/>
          <w:highlight w:val="yellow"/>
        </w:rPr>
        <w:t xml:space="preserve">(</w:t>
      </w:r>
      <w:r>
        <w:rPr>
          <w:bCs/>
          <w:sz w:val="24"/>
          <w:szCs w:val="24"/>
          <w:highlight w:val="yellow"/>
        </w:rPr>
        <w:t xml:space="preserve">д</w:t>
      </w:r>
      <w:r>
        <w:rPr>
          <w:bCs/>
          <w:sz w:val="24"/>
          <w:szCs w:val="24"/>
          <w:highlight w:val="yellow"/>
        </w:rPr>
        <w:t xml:space="preserve">екларируются участником</w:t>
      </w:r>
      <w:r>
        <w:rPr>
          <w:bCs/>
          <w:sz w:val="24"/>
          <w:szCs w:val="24"/>
          <w:highlight w:val="yellow"/>
        </w:rPr>
        <w:t xml:space="preserve">)</w:t>
      </w:r>
      <w:r>
        <w:rPr>
          <w:b/>
          <w:bCs/>
          <w:sz w:val="24"/>
          <w:szCs w:val="24"/>
          <w:highlight w:val="yellow"/>
        </w:rPr>
        <w:t xml:space="preserve">: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соответствие требованиям, установленным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</w:t>
      </w:r>
      <w:r>
        <w:rPr>
          <w:bCs/>
          <w:sz w:val="24"/>
          <w:szCs w:val="24"/>
        </w:rPr>
        <w:t xml:space="preserve">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не приостановление</w:t>
      </w:r>
      <w:r>
        <w:rPr>
          <w:bCs/>
          <w:sz w:val="24"/>
          <w:szCs w:val="24"/>
        </w:rPr>
        <w:t xml:space="preserve"> деятельности участника закупки в порядке, установленном Кодексом Российской Федерации об административных правонарушениях;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отсутствие у участника закупки недоимки по налогам, сборам, задолженности по иным обязательным платежам в бюджеты бюджетной системы Р</w:t>
      </w:r>
      <w:r>
        <w:rPr>
          <w:bCs/>
          <w:sz w:val="24"/>
          <w:szCs w:val="24"/>
        </w:rPr>
        <w:t xml:space="preserve">оссийской Федерации (за исключением сумм, на которые предоставлены отсрочка, рассрочка, инвестиционный налоговый кредит в соответствии с законодательством Российской Федерации о налогах и сборах, которые реструктурированы в соответствии с законодательством</w:t>
      </w:r>
      <w:r>
        <w:rPr>
          <w:bCs/>
          <w:sz w:val="24"/>
          <w:szCs w:val="24"/>
        </w:rPr>
        <w:t xml:space="preserve"> Российской Федерации, по которым имеется вступившее в законную силу решение суда о признании обязанностизаявителяпо уплате этих сумм исполненной или которые признаны безнадежными к взысканию в соответствии с законодательством Российской Федерации о налога</w:t>
      </w:r>
      <w:r>
        <w:rPr>
          <w:bCs/>
          <w:sz w:val="24"/>
          <w:szCs w:val="24"/>
        </w:rPr>
        <w:t xml:space="preserve">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 Участник закупки считается соответствующим установле</w:t>
      </w:r>
      <w:r>
        <w:rPr>
          <w:bCs/>
          <w:sz w:val="24"/>
          <w:szCs w:val="24"/>
        </w:rPr>
        <w:t xml:space="preserve">нному требованию в случае, если им в установленном порядке подано заявление об обжаловании указанных недоимки, задолженности и решение по такому заявлению на дату рассмотрения заявки на участие в определении поставщика (подрядчика, исполнителя) не принято;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отсутствие у участника закупки - физического лица</w:t>
      </w:r>
      <w:r>
        <w:rPr>
          <w:bCs/>
          <w:sz w:val="24"/>
          <w:szCs w:val="24"/>
        </w:rPr>
        <w:t xml:space="preserve">,</w:t>
      </w:r>
      <w:r>
        <w:rPr>
          <w:bCs/>
          <w:sz w:val="24"/>
          <w:szCs w:val="24"/>
        </w:rPr>
        <w:t xml:space="preserve"> либо у руководителя</w:t>
      </w:r>
      <w:r>
        <w:rPr>
          <w:bCs/>
          <w:sz w:val="24"/>
          <w:szCs w:val="24"/>
        </w:rPr>
        <w:t xml:space="preserve">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</w:t>
      </w:r>
      <w:hyperlink r:id="rId12" w:tooltip="consultantplus://offline/ref=FBA21565AF8DEFBF7962AAE295B5DE28C2E38070800BF98870EA9D54C1161EB3578B231E6EB1241F468818D8CCBAAB4EBF294B584F862B04d7lFK" w:history="1">
        <w:r>
          <w:rPr>
            <w:bCs/>
            <w:sz w:val="24"/>
            <w:szCs w:val="24"/>
          </w:rPr>
          <w:t xml:space="preserve">статьями 289</w:t>
        </w:r>
      </w:hyperlink>
      <w:r>
        <w:rPr>
          <w:bCs/>
          <w:sz w:val="24"/>
          <w:szCs w:val="24"/>
        </w:rPr>
        <w:t xml:space="preserve">, 290, </w:t>
      </w:r>
      <w:hyperlink r:id="rId13" w:tooltip="consultantplus://offline/ref=FBA21565AF8DEFBF7962AAE295B5DE28C2E38070800BF98870EA9D54C1161EB3578B231D6EB72E1D15D208DC85EFA450BC3554585186d2lAK" w:history="1">
        <w:r>
          <w:rPr>
            <w:bCs/>
            <w:sz w:val="24"/>
            <w:szCs w:val="24"/>
          </w:rPr>
          <w:t xml:space="preserve">291</w:t>
        </w:r>
      </w:hyperlink>
      <w:r>
        <w:rPr>
          <w:bCs/>
          <w:sz w:val="24"/>
          <w:szCs w:val="24"/>
        </w:rPr>
        <w:t xml:space="preserve">, </w:t>
      </w:r>
      <w:hyperlink r:id="rId14" w:tooltip="consultantplus://offline/ref=FBA21565AF8DEFBF7962AAE295B5DE28C2E38070800BF98870EA9D54C1161EB3578B231D6EB82A1D15D208DC85EFA450BC3554585186d2lAK" w:history="1">
        <w:r>
          <w:rPr>
            <w:bCs/>
            <w:sz w:val="24"/>
            <w:szCs w:val="24"/>
          </w:rPr>
          <w:t xml:space="preserve">291.1</w:t>
        </w:r>
      </w:hyperlink>
      <w:r>
        <w:rPr>
          <w:bCs/>
          <w:sz w:val="24"/>
          <w:szCs w:val="24"/>
        </w:rPr>
        <w:t xml:space="preserve">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</w:t>
      </w:r>
      <w:r>
        <w:rPr>
          <w:bCs/>
          <w:sz w:val="24"/>
          <w:szCs w:val="24"/>
        </w:rPr>
        <w:t xml:space="preserve">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участник закупки - юридическое лицо, которое в течен</w:t>
      </w:r>
      <w:r>
        <w:rPr>
          <w:bCs/>
          <w:sz w:val="24"/>
          <w:szCs w:val="24"/>
        </w:rPr>
        <w:t xml:space="preserve">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статьей 19.28 Кодекса Российской Федерации об административных правонарушениях;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i/>
          <w:sz w:val="24"/>
          <w:szCs w:val="24"/>
          <w:highlight w:val="none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обладание участником закупки исключительными правами на результаты интеллектуальной деятельн</w:t>
      </w:r>
      <w:r>
        <w:rPr>
          <w:bCs/>
          <w:sz w:val="24"/>
          <w:szCs w:val="24"/>
        </w:rPr>
        <w:t xml:space="preserve">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</w:t>
      </w:r>
      <w:r>
        <w:rPr>
          <w:bCs/>
          <w:sz w:val="24"/>
          <w:szCs w:val="24"/>
        </w:rPr>
        <w:t xml:space="preserve"> </w:t>
      </w:r>
      <w:r>
        <w:rPr>
          <w:bCs/>
          <w:i/>
          <w:sz w:val="24"/>
          <w:szCs w:val="24"/>
        </w:rPr>
        <w:t xml:space="preserve">(предоставляется</w:t>
      </w:r>
      <w:r>
        <w:rPr>
          <w:bCs/>
          <w:i/>
          <w:sz w:val="24"/>
          <w:szCs w:val="24"/>
        </w:rPr>
        <w:t xml:space="preserve">,</w:t>
      </w:r>
      <w:r>
        <w:rPr>
          <w:bCs/>
          <w:i/>
          <w:sz w:val="24"/>
          <w:szCs w:val="24"/>
        </w:rPr>
        <w:t xml:space="preserve"> если</w:t>
      </w:r>
      <w:r>
        <w:rPr>
          <w:bCs/>
          <w:i/>
          <w:sz w:val="24"/>
          <w:szCs w:val="24"/>
        </w:rPr>
        <w:t xml:space="preserve"> данное требование относится к предмету закупки</w:t>
      </w:r>
      <w:r>
        <w:rPr>
          <w:bCs/>
          <w:i/>
          <w:sz w:val="24"/>
          <w:szCs w:val="24"/>
        </w:rPr>
        <w:t xml:space="preserve">)</w:t>
      </w:r>
      <w:r>
        <w:rPr>
          <w:bCs/>
          <w:i/>
          <w:sz w:val="24"/>
          <w:szCs w:val="24"/>
        </w:rPr>
        <w:t xml:space="preserve">;</w:t>
      </w:r>
      <w:r>
        <w:rPr>
          <w:bCs/>
          <w:i/>
          <w:sz w:val="24"/>
          <w:szCs w:val="24"/>
          <w:highlight w:val="none"/>
        </w:rPr>
      </w:r>
      <w:r>
        <w:rPr>
          <w:bCs/>
          <w:i/>
          <w:sz w:val="24"/>
          <w:szCs w:val="24"/>
          <w:highlight w:val="none"/>
        </w:rPr>
      </w:r>
    </w:p>
    <w:p>
      <w:pPr>
        <w:ind w:firstLine="567"/>
        <w:jc w:val="both"/>
        <w:widowControl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>
      <w:pPr>
        <w:ind w:firstLine="567"/>
        <w:jc w:val="both"/>
        <w:widowControl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>
      <w:pPr>
        <w:ind w:firstLine="567"/>
        <w:jc w:val="both"/>
        <w:widowControl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  <w:r>
        <w:rPr>
          <w:bCs/>
          <w:i/>
          <w:sz w:val="24"/>
          <w:szCs w:val="24"/>
        </w:rPr>
      </w:r>
    </w:p>
    <w:p>
      <w:pPr>
        <w:ind w:firstLine="567"/>
        <w:jc w:val="both"/>
        <w:widowControl/>
        <w:rPr>
          <w:bCs/>
          <w:i/>
          <w:sz w:val="24"/>
          <w:szCs w:val="24"/>
        </w:rPr>
      </w:pPr>
      <w:r>
        <w:rPr>
          <w:bCs/>
          <w:i/>
          <w:sz w:val="24"/>
          <w:szCs w:val="24"/>
          <w:highlight w:val="none"/>
        </w:rPr>
      </w:r>
      <w:r>
        <w:rPr>
          <w:bCs/>
          <w:i/>
          <w:sz w:val="24"/>
          <w:szCs w:val="24"/>
          <w:highlight w:val="none"/>
        </w:rPr>
      </w:r>
      <w:r>
        <w:rPr>
          <w:bCs/>
          <w:i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</w:t>
      </w:r>
      <w:r>
        <w:rPr>
          <w:bCs/>
          <w:sz w:val="24"/>
          <w:szCs w:val="24"/>
        </w:rPr>
        <w:t xml:space="preserve">ществлению 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</w:t>
      </w:r>
      <w:r>
        <w:rPr>
          <w:bCs/>
          <w:sz w:val="24"/>
          <w:szCs w:val="24"/>
        </w:rPr>
        <w:t xml:space="preserve">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унитарногопредприятиялибо иными органами управления юридиче</w:t>
      </w:r>
      <w:r>
        <w:rPr>
          <w:bCs/>
          <w:sz w:val="24"/>
          <w:szCs w:val="24"/>
        </w:rPr>
        <w:t xml:space="preserve">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</w:t>
      </w:r>
      <w:r>
        <w:rPr>
          <w:bCs/>
          <w:sz w:val="24"/>
          <w:szCs w:val="24"/>
        </w:rPr>
        <w:t xml:space="preserve"> и детьми, дедушкой, бабушкой и внуками), полнородными и неполнородными (имеющими общих отца или мать) братьями и сестрами), усыновителями или усыновленными указанных физических лиц. Под выгодоприобретателями для целей настоящей статьи понимаются физически</w:t>
      </w:r>
      <w:r>
        <w:rPr>
          <w:bCs/>
          <w:sz w:val="24"/>
          <w:szCs w:val="24"/>
        </w:rPr>
        <w:t xml:space="preserve">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участник </w:t>
      </w:r>
      <w:r>
        <w:rPr>
          <w:bCs/>
          <w:sz w:val="24"/>
          <w:szCs w:val="24"/>
        </w:rPr>
        <w:t xml:space="preserve">закупки не является офшорной компанией, не имеет в составе участников (членов) корпоративного юридического лица или в составе учредителей унитарного юридического лица офшорной компании, а также не имеет офшорных компаний в числе лиц, владеющих напрямую или</w:t>
      </w:r>
      <w:r>
        <w:rPr>
          <w:bCs/>
          <w:sz w:val="24"/>
          <w:szCs w:val="24"/>
        </w:rPr>
        <w:t xml:space="preserve">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(складочном) капитале хозяйственного товарищества или общества;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</w:t>
      </w:r>
      <w:r>
        <w:rPr>
          <w:bCs/>
          <w:sz w:val="24"/>
          <w:szCs w:val="24"/>
        </w:rPr>
        <w:t xml:space="preserve"> отсутствие у участника закупки ограничений для участия в закупках, установленных законодательством Российс</w:t>
      </w:r>
      <w:r>
        <w:rPr>
          <w:bCs/>
          <w:sz w:val="24"/>
          <w:szCs w:val="24"/>
        </w:rPr>
        <w:t xml:space="preserve">кой Федерации;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widowControl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- участник </w:t>
      </w:r>
      <w:r>
        <w:rPr>
          <w:bCs/>
          <w:sz w:val="24"/>
          <w:szCs w:val="24"/>
        </w:rPr>
        <w:t xml:space="preserve">закупки </w:t>
      </w:r>
      <w:r>
        <w:rPr>
          <w:bCs/>
          <w:sz w:val="24"/>
          <w:szCs w:val="24"/>
        </w:rPr>
        <w:t xml:space="preserve">не является иностранным агентом.</w:t>
      </w:r>
      <w:r>
        <w:rPr>
          <w:bCs/>
          <w:sz w:val="24"/>
          <w:szCs w:val="24"/>
        </w:rPr>
      </w:r>
      <w:r>
        <w:rPr>
          <w:bCs/>
          <w:sz w:val="24"/>
          <w:szCs w:val="24"/>
        </w:rPr>
      </w:r>
    </w:p>
    <w:p>
      <w:pPr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2</w:t>
      </w:r>
      <w:r>
        <w:rPr>
          <w:b/>
          <w:sz w:val="24"/>
          <w:szCs w:val="24"/>
        </w:rPr>
        <w:t xml:space="preserve">)</w:t>
      </w:r>
      <w:r>
        <w:rPr>
          <w:sz w:val="24"/>
          <w:szCs w:val="24"/>
        </w:rPr>
        <w:t xml:space="preserve"> отсутствие у Участника случаев </w:t>
      </w:r>
      <w:r>
        <w:rPr>
          <w:b/>
          <w:sz w:val="24"/>
          <w:szCs w:val="24"/>
        </w:rPr>
        <w:t xml:space="preserve">поставок некачественного товара (некачественного выполнения работ, некачественного оказания услуг),</w:t>
      </w:r>
      <w:r>
        <w:rPr>
          <w:sz w:val="24"/>
          <w:szCs w:val="24"/>
        </w:rPr>
        <w:t xml:space="preserve"> подтвержденных результатом независимой экспертизы, </w:t>
      </w:r>
      <w:r>
        <w:rPr>
          <w:b/>
          <w:sz w:val="24"/>
          <w:szCs w:val="24"/>
        </w:rPr>
        <w:t xml:space="preserve">и (или) </w:t>
      </w:r>
      <w:r>
        <w:rPr>
          <w:b/>
          <w:sz w:val="24"/>
          <w:szCs w:val="24"/>
        </w:rPr>
        <w:t xml:space="preserve">просрочки поставок</w:t>
      </w:r>
      <w:r>
        <w:rPr>
          <w:b/>
          <w:sz w:val="24"/>
          <w:szCs w:val="24"/>
        </w:rPr>
        <w:t xml:space="preserve"> товара (выполнения работ, оказания услуг)</w:t>
      </w:r>
      <w:r>
        <w:rPr>
          <w:b/>
          <w:sz w:val="24"/>
          <w:szCs w:val="24"/>
        </w:rPr>
        <w:t xml:space="preserve">. </w:t>
      </w:r>
      <w:r>
        <w:rPr>
          <w:b/>
          <w:sz w:val="24"/>
          <w:szCs w:val="24"/>
        </w:rPr>
      </w:r>
      <w:r>
        <w:rPr>
          <w:b/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(При проверке Заказчиком</w:t>
      </w:r>
      <w:r>
        <w:rPr>
          <w:b/>
          <w:sz w:val="24"/>
          <w:szCs w:val="24"/>
        </w:rPr>
        <w:t xml:space="preserve"> Факты ненадлежащего исполнения и (или) просрочки исполнения могут подтверждаться </w:t>
      </w:r>
      <w:r>
        <w:rPr>
          <w:sz w:val="24"/>
          <w:szCs w:val="24"/>
        </w:rPr>
        <w:t xml:space="preserve">сведениями из реестр</w:t>
      </w:r>
      <w:r>
        <w:rPr>
          <w:sz w:val="24"/>
          <w:szCs w:val="24"/>
        </w:rPr>
        <w:t xml:space="preserve">ов </w:t>
      </w:r>
      <w:r>
        <w:rPr>
          <w:sz w:val="24"/>
          <w:szCs w:val="24"/>
        </w:rPr>
        <w:t xml:space="preserve">контрактов </w:t>
      </w:r>
      <w:r>
        <w:rPr>
          <w:sz w:val="24"/>
          <w:szCs w:val="24"/>
        </w:rPr>
        <w:t xml:space="preserve">(договоров) </w:t>
      </w:r>
      <w:r>
        <w:rPr>
          <w:sz w:val="24"/>
          <w:szCs w:val="24"/>
        </w:rPr>
        <w:t xml:space="preserve">Официального сайта единой информационной системы в сфере закупок</w:t>
      </w:r>
      <w:r>
        <w:rPr>
          <w:sz w:val="24"/>
          <w:szCs w:val="24"/>
        </w:rPr>
        <w:t xml:space="preserve">, информацией от государственных, муниципальных учреждений, а </w:t>
      </w:r>
      <w:r>
        <w:rPr>
          <w:sz w:val="24"/>
          <w:szCs w:val="24"/>
        </w:rPr>
        <w:t xml:space="preserve">также</w:t>
      </w:r>
      <w:r>
        <w:rPr>
          <w:sz w:val="24"/>
          <w:szCs w:val="24"/>
        </w:rPr>
        <w:t xml:space="preserve"> иных юридических и физических лиц, являющимися контрагентами участника закупки, чьё предложение рассматривается</w:t>
      </w:r>
      <w:r>
        <w:rPr>
          <w:sz w:val="24"/>
          <w:szCs w:val="24"/>
        </w:rPr>
        <w:t xml:space="preserve">)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3</w:t>
      </w:r>
      <w:r>
        <w:rPr>
          <w:b/>
          <w:sz w:val="24"/>
          <w:szCs w:val="24"/>
        </w:rPr>
        <w:t xml:space="preserve">)</w:t>
      </w:r>
      <w:r>
        <w:rPr>
          <w:b/>
          <w:sz w:val="24"/>
          <w:szCs w:val="24"/>
        </w:rPr>
        <w:t xml:space="preserve"> отсутствие сведений об Участнике в реестр</w:t>
      </w:r>
      <w:r>
        <w:rPr>
          <w:b/>
          <w:sz w:val="24"/>
          <w:szCs w:val="24"/>
        </w:rPr>
        <w:t xml:space="preserve">ах</w:t>
      </w:r>
      <w:r>
        <w:rPr>
          <w:b/>
          <w:sz w:val="24"/>
          <w:szCs w:val="24"/>
        </w:rPr>
        <w:t xml:space="preserve"> недобросовестных </w:t>
      </w:r>
      <w:r>
        <w:rPr>
          <w:b/>
          <w:sz w:val="24"/>
          <w:szCs w:val="24"/>
        </w:rPr>
        <w:t xml:space="preserve">поставщиков</w:t>
      </w:r>
      <w:r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подрядчиков, исполнителей) на Официальном сайте единой информа</w:t>
      </w:r>
      <w:r>
        <w:rPr>
          <w:sz w:val="24"/>
          <w:szCs w:val="24"/>
        </w:rPr>
        <w:t xml:space="preserve">ционной системы в сфере закупок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widowControl/>
        <w:rPr>
          <w:sz w:val="24"/>
          <w:szCs w:val="24"/>
        </w:rPr>
      </w:pPr>
      <w:r>
        <w:rPr>
          <w:b/>
          <w:sz w:val="24"/>
          <w:szCs w:val="24"/>
        </w:rPr>
        <w:t xml:space="preserve">4</w:t>
      </w:r>
      <w:r>
        <w:rPr>
          <w:b/>
          <w:sz w:val="24"/>
          <w:szCs w:val="24"/>
        </w:rPr>
        <w:t xml:space="preserve">) </w:t>
      </w:r>
      <w:r>
        <w:rPr>
          <w:b/>
          <w:sz w:val="24"/>
          <w:szCs w:val="24"/>
        </w:rPr>
        <w:t xml:space="preserve">участник закупки</w:t>
      </w:r>
      <w:r>
        <w:rPr>
          <w:sz w:val="24"/>
          <w:szCs w:val="24"/>
        </w:rPr>
        <w:t xml:space="preserve">, предложивший </w:t>
      </w:r>
      <w:r>
        <w:rPr>
          <w:sz w:val="24"/>
          <w:szCs w:val="24"/>
        </w:rPr>
        <w:t xml:space="preserve">цену контрака,</w:t>
      </w:r>
      <w:r>
        <w:rPr>
          <w:sz w:val="24"/>
          <w:szCs w:val="24"/>
        </w:rPr>
        <w:t xml:space="preserve"> сумму цен единиц товара на двадцать пять и более процентов ниже начальной (максимальной) цены контракта, начальной суммы цен единиц товара, </w:t>
      </w:r>
      <w:r>
        <w:rPr>
          <w:b/>
          <w:sz w:val="24"/>
          <w:szCs w:val="24"/>
        </w:rPr>
        <w:t xml:space="preserve">обязан представить </w:t>
      </w:r>
      <w:r>
        <w:rPr>
          <w:b/>
          <w:sz w:val="24"/>
          <w:szCs w:val="24"/>
        </w:rPr>
        <w:t xml:space="preserve">З</w:t>
      </w:r>
      <w:r>
        <w:rPr>
          <w:b/>
          <w:sz w:val="24"/>
          <w:szCs w:val="24"/>
        </w:rPr>
        <w:t xml:space="preserve">аказчику обоснование предлагаемой цены контракта, суммы цен единиц товара</w:t>
      </w:r>
      <w:r>
        <w:rPr>
          <w:sz w:val="24"/>
          <w:szCs w:val="24"/>
        </w:rPr>
        <w:t xml:space="preserve">, которое может включать в себя гарантийное письмо от производителя с указанием цены и количества поставляемого товара (за </w:t>
      </w:r>
      <w:r>
        <w:rPr>
          <w:sz w:val="24"/>
          <w:szCs w:val="24"/>
        </w:rPr>
        <w:t xml:space="preserve">исключением случая, если количество поставляемых товаров невозможно определить), документы, подтверждающие наличие товара у участника закупки, иные документы и расчеты, подтверждающие возможность участника закупки осуществить поставку товара по предлагаемы</w:t>
      </w:r>
      <w:r>
        <w:rPr>
          <w:sz w:val="24"/>
          <w:szCs w:val="24"/>
        </w:rPr>
        <w:t xml:space="preserve">м цен</w:t>
      </w:r>
      <w:r>
        <w:rPr>
          <w:sz w:val="24"/>
          <w:szCs w:val="24"/>
        </w:rPr>
        <w:t xml:space="preserve">ам, сумме цен единиц товара</w:t>
      </w:r>
      <w:r>
        <w:rPr>
          <w:sz w:val="24"/>
          <w:szCs w:val="24"/>
        </w:rPr>
        <w:t xml:space="preserve">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widowControl/>
        <w:rPr>
          <w:rFonts w:asciiTheme="majorBidi" w:hAnsiTheme="majorBidi" w:cstheme="majorBidi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5</w:t>
      </w:r>
      <w:r>
        <w:rPr>
          <w:rFonts w:ascii="Times New Roman" w:hAnsi="Times New Roman" w:eastAsia="Times New Roman" w:cs="Times New Roman"/>
          <w:b/>
          <w:color w:val="000000"/>
          <w:sz w:val="24"/>
          <w:szCs w:val="24"/>
        </w:rPr>
        <w:t xml:space="preserve">)  документы, подтверждающие происхождение товара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, сертификат соответствия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.</w:t>
      </w:r>
      <w:r>
        <w:rPr>
          <w:rFonts w:asciiTheme="majorBidi" w:hAnsiTheme="majorBidi" w:cstheme="majorBidi"/>
          <w:sz w:val="24"/>
          <w:szCs w:val="24"/>
        </w:rPr>
      </w:r>
      <w:r>
        <w:rPr>
          <w:rFonts w:asciiTheme="majorBidi" w:hAnsiTheme="majorBidi" w:cstheme="majorBidi"/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Если Участник </w:t>
      </w:r>
      <w:r>
        <w:rPr>
          <w:sz w:val="24"/>
          <w:szCs w:val="24"/>
        </w:rPr>
        <w:t xml:space="preserve">не соответствует требованиям, указанным в пп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  <w:t xml:space="preserve">1-</w:t>
      </w:r>
      <w:r>
        <w:rPr>
          <w:sz w:val="24"/>
          <w:szCs w:val="24"/>
        </w:rPr>
        <w:t xml:space="preserve">5</w:t>
      </w:r>
      <w:r>
        <w:rPr>
          <w:sz w:val="24"/>
          <w:szCs w:val="24"/>
        </w:rPr>
        <w:t xml:space="preserve"> п. </w:t>
      </w:r>
      <w:r>
        <w:rPr>
          <w:sz w:val="24"/>
          <w:szCs w:val="24"/>
        </w:rPr>
        <w:t xml:space="preserve">10</w:t>
      </w:r>
      <w:r>
        <w:rPr>
          <w:sz w:val="24"/>
          <w:szCs w:val="24"/>
        </w:rPr>
        <w:t xml:space="preserve"> настоящего Запроса цен, </w:t>
      </w:r>
      <w:r>
        <w:rPr>
          <w:b/>
          <w:sz w:val="24"/>
          <w:szCs w:val="24"/>
        </w:rPr>
        <w:t xml:space="preserve">ценовое предложение не принимается в расчет и к сравнению цен</w:t>
      </w:r>
      <w:r>
        <w:rPr>
          <w:b/>
          <w:sz w:val="24"/>
          <w:szCs w:val="24"/>
        </w:rPr>
        <w:t xml:space="preserve"> заявка не допускается</w:t>
      </w:r>
      <w:r>
        <w:rPr>
          <w:sz w:val="24"/>
          <w:szCs w:val="24"/>
        </w:rPr>
        <w:t xml:space="preserve">, за исключением случая, когда все участники одновременно </w:t>
      </w:r>
      <w:r>
        <w:rPr>
          <w:sz w:val="24"/>
          <w:szCs w:val="24"/>
        </w:rPr>
        <w:t xml:space="preserve">имеют факты поставок некачественного товара (некачественного выполнения работ, некачественного оказания услуг), подтвержденных результатом независимой экспертизы, или одновременно имеют факты просрочки  поставок товара (выполнения работ, оказания услуг).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</w:t>
      </w:r>
      <w:r>
        <w:rPr>
          <w:sz w:val="24"/>
          <w:szCs w:val="24"/>
        </w:rPr>
        <w:t xml:space="preserve"> есл</w:t>
      </w:r>
      <w:r>
        <w:rPr>
          <w:sz w:val="24"/>
          <w:szCs w:val="24"/>
        </w:rPr>
        <w:t xml:space="preserve">и Заказчиком принимается решение</w:t>
      </w:r>
      <w:r>
        <w:rPr>
          <w:sz w:val="24"/>
          <w:szCs w:val="24"/>
        </w:rPr>
        <w:t xml:space="preserve"> о выборе победителя среди участников: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имеющих факт нарушения сроков исполнения контракта (договора), выбор победителя </w:t>
      </w:r>
      <w:r>
        <w:rPr>
          <w:sz w:val="24"/>
          <w:szCs w:val="24"/>
        </w:rPr>
        <w:t xml:space="preserve">должен осуществляется в пользу минимального размера нарушения такого срока;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имеющих факт поставки не качественной продукции,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такое решение может приниматься только при ничтожных показателях несоответствия товара (некачественного выполнения работ, некачественного оказания услуги).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случае если в результате анализа рынка поданы несколько одинаковых ценовых предложений,</w:t>
      </w:r>
      <w:r>
        <w:rPr>
          <w:sz w:val="24"/>
          <w:szCs w:val="24"/>
        </w:rPr>
        <w:t xml:space="preserve"> и они допущены к сравнению, то при принятии решения о заключении контракта, контракт</w:t>
      </w:r>
      <w:r>
        <w:rPr>
          <w:sz w:val="24"/>
          <w:szCs w:val="24"/>
        </w:rPr>
        <w:t xml:space="preserve"> заключается с Участником, который является субъектом малого предпринимательства и (или) социально ориентированной некоммерческой организацией.</w:t>
      </w:r>
      <w:r>
        <w:rPr>
          <w:sz w:val="24"/>
          <w:szCs w:val="24"/>
        </w:rPr>
        <w:t xml:space="preserve"> При этом</w:t>
      </w:r>
      <w:r>
        <w:rPr>
          <w:sz w:val="24"/>
          <w:szCs w:val="24"/>
        </w:rPr>
        <w:t xml:space="preserve">, если несколько одинаковых ценовых предложений, поступили от Участников, являющихся субъектами малого предпринимательства и (или) социально ориентированными некоммерческими организациями, или никто из Участников не </w:t>
      </w:r>
      <w:r>
        <w:rPr>
          <w:sz w:val="24"/>
          <w:szCs w:val="24"/>
        </w:rPr>
        <w:t xml:space="preserve">является субъектами</w:t>
      </w:r>
      <w:r>
        <w:rPr>
          <w:sz w:val="24"/>
          <w:szCs w:val="24"/>
        </w:rPr>
        <w:t xml:space="preserve"> малого предпринимательства и (или) социально ориентированными некоммерческими организациями, контракт</w:t>
      </w:r>
      <w:r>
        <w:rPr>
          <w:sz w:val="24"/>
          <w:szCs w:val="24"/>
        </w:rPr>
        <w:t xml:space="preserve"> может быть</w:t>
      </w:r>
      <w:r>
        <w:rPr>
          <w:sz w:val="24"/>
          <w:szCs w:val="24"/>
        </w:rPr>
        <w:t xml:space="preserve"> заключ</w:t>
      </w:r>
      <w:r>
        <w:rPr>
          <w:sz w:val="24"/>
          <w:szCs w:val="24"/>
        </w:rPr>
        <w:t xml:space="preserve">ен</w:t>
      </w:r>
      <w:r>
        <w:rPr>
          <w:sz w:val="24"/>
          <w:szCs w:val="24"/>
        </w:rPr>
        <w:t xml:space="preserve"> с Участником, который первым подал ценовое предложение.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Решение о завершении процедуры анализа рынка без заключения контракта принимается в случае</w:t>
      </w:r>
      <w:r>
        <w:rPr>
          <w:sz w:val="24"/>
          <w:szCs w:val="24"/>
        </w:rPr>
        <w:t xml:space="preserve">, если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не подано не одного ценного предложения от Участников;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из поданных ценовых предложений </w:t>
      </w:r>
      <w:r>
        <w:rPr>
          <w:sz w:val="24"/>
          <w:szCs w:val="24"/>
        </w:rPr>
        <w:t xml:space="preserve">Участников в расчет и к сравнению цен </w:t>
      </w:r>
      <w:r>
        <w:rPr>
          <w:sz w:val="24"/>
          <w:szCs w:val="24"/>
        </w:rPr>
        <w:t xml:space="preserve">не принято ни одно</w:t>
      </w:r>
      <w:r>
        <w:rPr>
          <w:sz w:val="24"/>
          <w:szCs w:val="24"/>
        </w:rPr>
        <w:t xml:space="preserve">го п</w:t>
      </w:r>
      <w:r>
        <w:rPr>
          <w:sz w:val="24"/>
          <w:szCs w:val="24"/>
        </w:rPr>
        <w:t xml:space="preserve">редложени</w:t>
      </w:r>
      <w:r>
        <w:rPr>
          <w:sz w:val="24"/>
          <w:szCs w:val="24"/>
        </w:rPr>
        <w:t xml:space="preserve">я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результатам проведения публичной процедуры анализа рынка, Заказчик </w:t>
      </w:r>
      <w:r>
        <w:rPr>
          <w:sz w:val="24"/>
          <w:szCs w:val="24"/>
        </w:rPr>
        <w:t xml:space="preserve">принимает решение о заключении </w:t>
      </w:r>
      <w:r>
        <w:rPr>
          <w:sz w:val="24"/>
          <w:szCs w:val="24"/>
        </w:rPr>
        <w:t xml:space="preserve">контракта </w:t>
      </w:r>
      <w:r>
        <w:rPr>
          <w:sz w:val="24"/>
          <w:szCs w:val="24"/>
        </w:rPr>
        <w:t xml:space="preserve">или</w:t>
      </w:r>
      <w:r>
        <w:rPr>
          <w:sz w:val="24"/>
          <w:szCs w:val="24"/>
        </w:rPr>
        <w:t xml:space="preserve"> о завершении процедуры запроса цен без заключения контракта</w:t>
      </w:r>
      <w:r>
        <w:rPr>
          <w:sz w:val="24"/>
          <w:szCs w:val="24"/>
        </w:rPr>
        <w:t xml:space="preserve">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Решение Заказчика оформляется </w:t>
      </w:r>
      <w:r>
        <w:rPr>
          <w:sz w:val="24"/>
          <w:szCs w:val="24"/>
        </w:rPr>
        <w:t xml:space="preserve">соответствующи</w:t>
      </w:r>
      <w:r>
        <w:rPr>
          <w:sz w:val="24"/>
          <w:szCs w:val="24"/>
        </w:rPr>
        <w:t xml:space="preserve">м</w:t>
      </w:r>
      <w:r>
        <w:rPr>
          <w:sz w:val="24"/>
          <w:szCs w:val="24"/>
        </w:rPr>
        <w:t xml:space="preserve"> протокол</w:t>
      </w:r>
      <w:r>
        <w:rPr>
          <w:sz w:val="24"/>
          <w:szCs w:val="24"/>
        </w:rPr>
        <w:t xml:space="preserve">ом</w:t>
      </w:r>
      <w:r>
        <w:rPr>
          <w:sz w:val="24"/>
          <w:szCs w:val="24"/>
        </w:rPr>
        <w:t xml:space="preserve">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протоколе указывается обоснование принятия решений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2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допуску или не допуску участников к оценк</w:t>
      </w:r>
      <w:r>
        <w:rPr>
          <w:sz w:val="24"/>
          <w:szCs w:val="24"/>
        </w:rPr>
        <w:t xml:space="preserve">е ценовых предложений;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pStyle w:val="912"/>
        <w:numPr>
          <w:ilvl w:val="0"/>
          <w:numId w:val="5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 выбору Участника</w:t>
      </w:r>
      <w:r>
        <w:rPr>
          <w:sz w:val="24"/>
          <w:szCs w:val="24"/>
        </w:rPr>
        <w:t xml:space="preserve">,</w:t>
      </w:r>
      <w:r>
        <w:rPr>
          <w:sz w:val="24"/>
          <w:szCs w:val="24"/>
        </w:rPr>
        <w:t xml:space="preserve"> с которым будет заключен контракт;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3) </w:t>
      </w:r>
      <w:r>
        <w:rPr>
          <w:sz w:val="24"/>
          <w:szCs w:val="24"/>
        </w:rPr>
        <w:t xml:space="preserve">обоснование </w:t>
      </w:r>
      <w:r>
        <w:rPr>
          <w:sz w:val="24"/>
          <w:szCs w:val="24"/>
        </w:rPr>
        <w:t xml:space="preserve">решения о завершении процедуры запроса цен без заключения контракта,</w:t>
      </w:r>
      <w:r>
        <w:rPr>
          <w:sz w:val="24"/>
          <w:szCs w:val="24"/>
        </w:rPr>
        <w:t xml:space="preserve"> если</w:t>
      </w:r>
      <w:r>
        <w:rPr>
          <w:sz w:val="24"/>
          <w:szCs w:val="24"/>
        </w:rPr>
        <w:t xml:space="preserve"> Заказчик </w:t>
      </w:r>
      <w:r>
        <w:rPr>
          <w:sz w:val="24"/>
          <w:szCs w:val="24"/>
        </w:rPr>
        <w:t xml:space="preserve">принял такое решение.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Проведение данной процедуры сбора информации не влечет за собой возникновение каких-либо обязательств Заказчика.</w:t>
      </w:r>
      <w:r>
        <w:rPr>
          <w:b/>
          <w:bCs/>
          <w:sz w:val="24"/>
          <w:szCs w:val="24"/>
        </w:rPr>
      </w:r>
      <w:r>
        <w:rPr>
          <w:b/>
          <w:bCs/>
          <w:sz w:val="24"/>
          <w:szCs w:val="24"/>
        </w:rPr>
      </w:r>
    </w:p>
    <w:p>
      <w:pPr>
        <w:ind w:firstLine="567"/>
        <w:jc w:val="both"/>
        <w:widowControl/>
        <w:rPr>
          <w:b w:val="0"/>
          <w:bCs w:val="0"/>
          <w:i/>
          <w:sz w:val="24"/>
          <w:szCs w:val="24"/>
          <w:u w:val="single"/>
        </w:rPr>
      </w:pPr>
      <w:r>
        <w:rPr>
          <w:b/>
          <w:sz w:val="24"/>
          <w:szCs w:val="24"/>
        </w:rPr>
      </w:r>
      <w:r>
        <w:rPr>
          <w:sz w:val="24"/>
          <w:szCs w:val="24"/>
        </w:rPr>
        <w:t xml:space="preserve">Уполномоченное и контактное лицо со стороны Заказчика – начальник отдела закупок Шлякова Ольга Валерьевна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телефон 8(4922) 377-355 (доб. 210)</w:t>
      </w:r>
      <w:r>
        <w:rPr>
          <w:sz w:val="24"/>
          <w:szCs w:val="24"/>
        </w:rPr>
        <w:t xml:space="preserve">.</w:t>
      </w:r>
      <w:r>
        <w:rPr>
          <w:b w:val="0"/>
          <w:bCs w:val="0"/>
          <w:i/>
          <w:sz w:val="24"/>
          <w:szCs w:val="24"/>
          <w:u w:val="single"/>
        </w:rPr>
      </w:r>
      <w:r>
        <w:rPr>
          <w:b w:val="0"/>
          <w:bCs w:val="0"/>
          <w:i/>
          <w:sz w:val="24"/>
          <w:szCs w:val="24"/>
          <w:u w:val="single"/>
        </w:rPr>
      </w:r>
    </w:p>
    <w:p>
      <w:pPr>
        <w:ind w:firstLine="567"/>
        <w:widowControl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  <w:r>
        <w:rPr>
          <w:b/>
          <w:i/>
          <w:sz w:val="24"/>
          <w:szCs w:val="24"/>
        </w:rPr>
      </w:r>
    </w:p>
    <w:p>
      <w:pPr>
        <w:ind w:firstLine="567"/>
        <w:widowControl/>
        <w:rPr>
          <w:sz w:val="24"/>
          <w:szCs w:val="24"/>
        </w:rPr>
      </w:pPr>
      <w:r>
        <w:rPr>
          <w:sz w:val="24"/>
          <w:szCs w:val="24"/>
        </w:rPr>
        <w:t xml:space="preserve">Приложения: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567"/>
        <w:widowControl/>
        <w:rPr>
          <w:sz w:val="24"/>
          <w:szCs w:val="24"/>
        </w:rPr>
      </w:pPr>
      <w:r>
        <w:rPr>
          <w:sz w:val="24"/>
          <w:szCs w:val="24"/>
        </w:rPr>
        <w:t xml:space="preserve">Форма Предложения (Приложение № 1).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numPr>
          <w:ilvl w:val="0"/>
          <w:numId w:val="1"/>
        </w:numPr>
        <w:ind w:left="0" w:firstLine="567"/>
        <w:widowControl/>
        <w:rPr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 xml:space="preserve">Техническое задание</w:t>
      </w:r>
      <w:r>
        <w:rPr>
          <w:b/>
          <w:bCs/>
          <w:i/>
          <w:iCs/>
          <w:sz w:val="24"/>
          <w:szCs w:val="24"/>
        </w:rPr>
        <w:t xml:space="preserve"> на передачу прав</w:t>
      </w:r>
      <w:r>
        <w:rPr>
          <w:b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 xml:space="preserve">(Приложение № 2).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left="567"/>
        <w:widowControl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firstLine="567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67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67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67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67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firstLine="567"/>
        <w:rPr>
          <w:sz w:val="24"/>
          <w:szCs w:val="24"/>
          <w:highlight w:val="none"/>
        </w:rPr>
      </w:pP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sectPr>
      <w:headerReference w:type="even" r:id="rId9"/>
      <w:footerReference w:type="even" r:id="rId10"/>
      <w:footnotePr/>
      <w:endnotePr/>
      <w:type w:val="nextPage"/>
      <w:pgSz w:w="11906" w:h="16838" w:orient="portrait"/>
      <w:pgMar w:top="567" w:right="850" w:bottom="567" w:left="993" w:header="284" w:footer="284" w:gutter="0"/>
      <w:cols w:num="1" w:sep="0" w:space="6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Cambria">
    <w:panose1 w:val="02040503050406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  <w:rPr>
        <w:rStyle w:val="896"/>
      </w:rPr>
      <w:framePr w:wrap="around" w:vAnchor="text" w:hAnchor="margin" w:xAlign="center" w:y="1"/>
    </w:pPr>
    <w:r>
      <w:rPr>
        <w:rStyle w:val="896"/>
      </w:rPr>
      <w:fldChar w:fldCharType="begin"/>
    </w:r>
    <w:r>
      <w:rPr>
        <w:rStyle w:val="896"/>
      </w:rPr>
      <w:instrText xml:space="preserve">PAGE  </w:instrText>
    </w:r>
    <w:r>
      <w:rPr>
        <w:rStyle w:val="896"/>
      </w:rPr>
      <w:fldChar w:fldCharType="end"/>
    </w:r>
    <w:r>
      <w:rPr>
        <w:rStyle w:val="896"/>
      </w:rPr>
    </w:r>
    <w:r>
      <w:rPr>
        <w:rStyle w:val="896"/>
      </w:rPr>
    </w:r>
  </w:p>
  <w:p>
    <w:pPr>
      <w:pStyle w:val="89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rPr>
        <w:rStyle w:val="896"/>
      </w:rPr>
      <w:framePr w:wrap="around" w:vAnchor="text" w:hAnchor="margin" w:xAlign="center" w:y="1"/>
    </w:pPr>
    <w:r>
      <w:rPr>
        <w:rStyle w:val="896"/>
      </w:rPr>
      <w:fldChar w:fldCharType="begin"/>
    </w:r>
    <w:r>
      <w:rPr>
        <w:rStyle w:val="896"/>
      </w:rPr>
      <w:instrText xml:space="preserve">PAGE  </w:instrText>
    </w:r>
    <w:r>
      <w:rPr>
        <w:rStyle w:val="896"/>
      </w:rPr>
      <w:fldChar w:fldCharType="end"/>
    </w:r>
    <w:r>
      <w:rPr>
        <w:rStyle w:val="896"/>
      </w:rPr>
    </w:r>
    <w:r>
      <w:rPr>
        <w:rStyle w:val="896"/>
      </w:rPr>
    </w:r>
  </w:p>
  <w:p>
    <w:pPr>
      <w:pStyle w:val="89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  <w:tabs>
          <w:tab w:val="num" w:pos="450" w:leader="none"/>
        </w:tabs>
      </w:pPr>
      <w:rPr>
        <w:rFonts w:hint="default" w:cs="Times New Roman"/>
      </w:rPr>
    </w:lvl>
    <w:lvl w:ilvl="1">
      <w:start w:val="5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 w:cs="Times New Roman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9">
    <w:multiLevelType w:val="hybridMultilevel"/>
    <w:lvl w:ilvl="0">
      <w:start w:val="1"/>
      <w:numFmt w:val="decimal"/>
      <w:pStyle w:val="931"/>
      <w:isLgl w:val="false"/>
      <w:suff w:val="tab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hint="default" w:cs="Times New Roman"/>
        <w:i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hint="default" w:cs="Times New Roman"/>
        <w:i w:val="0"/>
      </w:rPr>
    </w:lvl>
    <w:lvl w:ilvl="3">
      <w:start w:val="1"/>
      <w:numFmt w:val="decimal"/>
      <w:isLgl w:val="false"/>
      <w:suff w:val="tab"/>
      <w:lvlText w:val="%1.%2.%3.%4."/>
      <w:lvlJc w:val="left"/>
      <w:pPr/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/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/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/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/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/>
      <w:rPr>
        <w:rFonts w:hint="default" w:cs="Times New Roman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</w:num>
  <w:num w:numId="7">
    <w:abstractNumId w:val="0"/>
  </w:num>
  <w:num w:numId="8">
    <w:abstractNumId w:val="5"/>
  </w:num>
  <w:num w:numId="9">
    <w:abstractNumId w:val="10"/>
  </w:num>
  <w:num w:numId="10">
    <w:abstractNumId w:val="6"/>
  </w:num>
  <w:num w:numId="11">
    <w:abstractNumId w:val="3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6">
    <w:name w:val="Heading 1 Char"/>
    <w:basedOn w:val="888"/>
    <w:link w:val="882"/>
    <w:uiPriority w:val="9"/>
    <w:rPr>
      <w:rFonts w:ascii="Arial" w:hAnsi="Arial" w:eastAsia="Arial" w:cs="Arial"/>
      <w:sz w:val="40"/>
      <w:szCs w:val="40"/>
    </w:rPr>
  </w:style>
  <w:style w:type="character" w:styleId="717">
    <w:name w:val="Heading 2 Char"/>
    <w:basedOn w:val="888"/>
    <w:link w:val="883"/>
    <w:uiPriority w:val="9"/>
    <w:rPr>
      <w:rFonts w:ascii="Arial" w:hAnsi="Arial" w:eastAsia="Arial" w:cs="Arial"/>
      <w:sz w:val="34"/>
    </w:rPr>
  </w:style>
  <w:style w:type="character" w:styleId="718">
    <w:name w:val="Heading 3 Char"/>
    <w:basedOn w:val="888"/>
    <w:link w:val="884"/>
    <w:uiPriority w:val="9"/>
    <w:rPr>
      <w:rFonts w:ascii="Arial" w:hAnsi="Arial" w:eastAsia="Arial" w:cs="Arial"/>
      <w:sz w:val="30"/>
      <w:szCs w:val="30"/>
    </w:rPr>
  </w:style>
  <w:style w:type="character" w:styleId="719">
    <w:name w:val="Heading 4 Char"/>
    <w:basedOn w:val="888"/>
    <w:link w:val="885"/>
    <w:uiPriority w:val="9"/>
    <w:rPr>
      <w:rFonts w:ascii="Arial" w:hAnsi="Arial" w:eastAsia="Arial" w:cs="Arial"/>
      <w:b/>
      <w:bCs/>
      <w:sz w:val="26"/>
      <w:szCs w:val="26"/>
    </w:rPr>
  </w:style>
  <w:style w:type="paragraph" w:styleId="720">
    <w:name w:val="Heading 5"/>
    <w:basedOn w:val="881"/>
    <w:next w:val="881"/>
    <w:link w:val="7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1">
    <w:name w:val="Heading 5 Char"/>
    <w:basedOn w:val="888"/>
    <w:link w:val="720"/>
    <w:uiPriority w:val="9"/>
    <w:rPr>
      <w:rFonts w:ascii="Arial" w:hAnsi="Arial" w:eastAsia="Arial" w:cs="Arial"/>
      <w:b/>
      <w:bCs/>
      <w:sz w:val="24"/>
      <w:szCs w:val="24"/>
    </w:rPr>
  </w:style>
  <w:style w:type="character" w:styleId="722">
    <w:name w:val="Heading 6 Char"/>
    <w:basedOn w:val="888"/>
    <w:link w:val="886"/>
    <w:uiPriority w:val="9"/>
    <w:rPr>
      <w:rFonts w:ascii="Arial" w:hAnsi="Arial" w:eastAsia="Arial" w:cs="Arial"/>
      <w:b/>
      <w:bCs/>
      <w:sz w:val="22"/>
      <w:szCs w:val="22"/>
    </w:rPr>
  </w:style>
  <w:style w:type="paragraph" w:styleId="723">
    <w:name w:val="Heading 7"/>
    <w:basedOn w:val="881"/>
    <w:next w:val="881"/>
    <w:link w:val="7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4">
    <w:name w:val="Heading 7 Char"/>
    <w:basedOn w:val="888"/>
    <w:link w:val="72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5">
    <w:name w:val="Heading 8"/>
    <w:basedOn w:val="881"/>
    <w:next w:val="881"/>
    <w:link w:val="7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6">
    <w:name w:val="Heading 8 Char"/>
    <w:basedOn w:val="888"/>
    <w:link w:val="725"/>
    <w:uiPriority w:val="9"/>
    <w:rPr>
      <w:rFonts w:ascii="Arial" w:hAnsi="Arial" w:eastAsia="Arial" w:cs="Arial"/>
      <w:i/>
      <w:iCs/>
      <w:sz w:val="22"/>
      <w:szCs w:val="22"/>
    </w:rPr>
  </w:style>
  <w:style w:type="character" w:styleId="727">
    <w:name w:val="Heading 9 Char"/>
    <w:basedOn w:val="888"/>
    <w:link w:val="887"/>
    <w:uiPriority w:val="9"/>
    <w:rPr>
      <w:rFonts w:ascii="Arial" w:hAnsi="Arial" w:eastAsia="Arial" w:cs="Arial"/>
      <w:i/>
      <w:iCs/>
      <w:sz w:val="21"/>
      <w:szCs w:val="21"/>
    </w:rPr>
  </w:style>
  <w:style w:type="character" w:styleId="728">
    <w:name w:val="Title Char"/>
    <w:basedOn w:val="888"/>
    <w:link w:val="941"/>
    <w:uiPriority w:val="10"/>
    <w:rPr>
      <w:sz w:val="48"/>
      <w:szCs w:val="48"/>
    </w:rPr>
  </w:style>
  <w:style w:type="paragraph" w:styleId="729">
    <w:name w:val="Subtitle"/>
    <w:basedOn w:val="881"/>
    <w:next w:val="881"/>
    <w:link w:val="730"/>
    <w:uiPriority w:val="11"/>
    <w:qFormat/>
    <w:pPr>
      <w:spacing w:before="200" w:after="200"/>
    </w:pPr>
    <w:rPr>
      <w:sz w:val="24"/>
      <w:szCs w:val="24"/>
    </w:rPr>
  </w:style>
  <w:style w:type="character" w:styleId="730">
    <w:name w:val="Subtitle Char"/>
    <w:basedOn w:val="888"/>
    <w:link w:val="729"/>
    <w:uiPriority w:val="11"/>
    <w:rPr>
      <w:sz w:val="24"/>
      <w:szCs w:val="24"/>
    </w:rPr>
  </w:style>
  <w:style w:type="paragraph" w:styleId="731">
    <w:name w:val="Quote"/>
    <w:basedOn w:val="881"/>
    <w:next w:val="881"/>
    <w:link w:val="732"/>
    <w:uiPriority w:val="29"/>
    <w:qFormat/>
    <w:pPr>
      <w:ind w:left="720" w:right="720"/>
    </w:pPr>
    <w:rPr>
      <w:i/>
    </w:rPr>
  </w:style>
  <w:style w:type="character" w:styleId="732">
    <w:name w:val="Quote Char"/>
    <w:link w:val="731"/>
    <w:uiPriority w:val="29"/>
    <w:rPr>
      <w:i/>
    </w:rPr>
  </w:style>
  <w:style w:type="paragraph" w:styleId="733">
    <w:name w:val="Intense Quote"/>
    <w:basedOn w:val="881"/>
    <w:next w:val="881"/>
    <w:link w:val="73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4">
    <w:name w:val="Intense Quote Char"/>
    <w:link w:val="733"/>
    <w:uiPriority w:val="30"/>
    <w:rPr>
      <w:i/>
    </w:rPr>
  </w:style>
  <w:style w:type="character" w:styleId="735">
    <w:name w:val="Header Char"/>
    <w:basedOn w:val="888"/>
    <w:link w:val="895"/>
    <w:uiPriority w:val="99"/>
  </w:style>
  <w:style w:type="character" w:styleId="736">
    <w:name w:val="Footer Char"/>
    <w:basedOn w:val="888"/>
    <w:link w:val="897"/>
    <w:uiPriority w:val="99"/>
  </w:style>
  <w:style w:type="paragraph" w:styleId="737">
    <w:name w:val="Caption"/>
    <w:basedOn w:val="881"/>
    <w:next w:val="881"/>
    <w:link w:val="7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8">
    <w:name w:val="Caption Char"/>
    <w:basedOn w:val="888"/>
    <w:link w:val="737"/>
    <w:uiPriority w:val="35"/>
    <w:rPr>
      <w:b/>
      <w:bCs/>
      <w:color w:val="4f81bd" w:themeColor="accent1"/>
      <w:sz w:val="18"/>
      <w:szCs w:val="18"/>
    </w:rPr>
  </w:style>
  <w:style w:type="table" w:styleId="739">
    <w:name w:val="Table Grid Light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>
    <w:name w:val="Plain Table 1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2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2">
    <w:name w:val="Plain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3">
    <w:name w:val="Plain Table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Plain Table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5">
    <w:name w:val="Grid Table 1 Light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4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7">
    <w:name w:val="Grid Table 4 - Accent 1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8">
    <w:name w:val="Grid Table 4 - Accent 2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9">
    <w:name w:val="Grid Table 4 - Accent 3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0">
    <w:name w:val="Grid Table 4 - Accent 4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1">
    <w:name w:val="Grid Table 4 - Accent 5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2">
    <w:name w:val="Grid Table 4 - Accent 6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3">
    <w:name w:val="Grid Table 5 Dark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7">
    <w:name w:val="Grid Table 5 Dark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0">
    <w:name w:val="Grid Table 6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1">
    <w:name w:val="Grid Table 6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2">
    <w:name w:val="Grid Table 6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3">
    <w:name w:val="Grid Table 6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4">
    <w:name w:val="Grid Table 6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5">
    <w:name w:val="Grid Table 6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6">
    <w:name w:val="Grid Table 6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7">
    <w:name w:val="Grid Table 7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2">
    <w:name w:val="List Table 2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3">
    <w:name w:val="List Table 2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4">
    <w:name w:val="List Table 2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5">
    <w:name w:val="List Table 2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6">
    <w:name w:val="List Table 2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7">
    <w:name w:val="List Table 2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8">
    <w:name w:val="List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5 Dark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6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0">
    <w:name w:val="List Table 6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1">
    <w:name w:val="List Table 6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2">
    <w:name w:val="List Table 6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3">
    <w:name w:val="List Table 6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4">
    <w:name w:val="List Table 6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5">
    <w:name w:val="List Table 6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6">
    <w:name w:val="List Table 7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7">
    <w:name w:val="List Table 7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8">
    <w:name w:val="List Table 7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9">
    <w:name w:val="List Table 7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0">
    <w:name w:val="List Table 7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1">
    <w:name w:val="List Table 7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2">
    <w:name w:val="List Table 7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3">
    <w:name w:val="Lined - Accent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Lined - Accent 1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5">
    <w:name w:val="Lined - Accent 2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6">
    <w:name w:val="Lined - Accent 3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7">
    <w:name w:val="Lined - Accent 4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8">
    <w:name w:val="Lined - Accent 5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9">
    <w:name w:val="Lined - Accent 6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0">
    <w:name w:val="Bordered &amp; Lined - Accent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1">
    <w:name w:val="Bordered &amp; Lined - Accent 1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2">
    <w:name w:val="Bordered &amp; Lined - Accent 2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3">
    <w:name w:val="Bordered &amp; Lined - Accent 3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4">
    <w:name w:val="Bordered &amp; Lined - Accent 4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5">
    <w:name w:val="Bordered &amp; Lined - Accent 5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6">
    <w:name w:val="Bordered &amp; Lined - Accent 6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7">
    <w:name w:val="Bordered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8">
    <w:name w:val="Bordered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9">
    <w:name w:val="Bordered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0">
    <w:name w:val="Bordered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1">
    <w:name w:val="Bordered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2">
    <w:name w:val="Bordered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3">
    <w:name w:val="Bordered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4">
    <w:name w:val="footnote text"/>
    <w:basedOn w:val="881"/>
    <w:link w:val="865"/>
    <w:uiPriority w:val="99"/>
    <w:semiHidden/>
    <w:unhideWhenUsed/>
    <w:pPr>
      <w:spacing w:after="40" w:line="240" w:lineRule="auto"/>
    </w:pPr>
    <w:rPr>
      <w:sz w:val="18"/>
    </w:rPr>
  </w:style>
  <w:style w:type="character" w:styleId="865">
    <w:name w:val="Footnote Text Char"/>
    <w:link w:val="864"/>
    <w:uiPriority w:val="99"/>
    <w:rPr>
      <w:sz w:val="18"/>
    </w:rPr>
  </w:style>
  <w:style w:type="character" w:styleId="866">
    <w:name w:val="footnote reference"/>
    <w:basedOn w:val="888"/>
    <w:uiPriority w:val="99"/>
    <w:unhideWhenUsed/>
    <w:rPr>
      <w:vertAlign w:val="superscript"/>
    </w:rPr>
  </w:style>
  <w:style w:type="paragraph" w:styleId="867">
    <w:name w:val="endnote text"/>
    <w:basedOn w:val="881"/>
    <w:link w:val="868"/>
    <w:uiPriority w:val="99"/>
    <w:semiHidden/>
    <w:unhideWhenUsed/>
    <w:pPr>
      <w:spacing w:after="0" w:line="240" w:lineRule="auto"/>
    </w:pPr>
    <w:rPr>
      <w:sz w:val="20"/>
    </w:rPr>
  </w:style>
  <w:style w:type="character" w:styleId="868">
    <w:name w:val="Endnote Text Char"/>
    <w:link w:val="867"/>
    <w:uiPriority w:val="99"/>
    <w:rPr>
      <w:sz w:val="20"/>
    </w:rPr>
  </w:style>
  <w:style w:type="character" w:styleId="869">
    <w:name w:val="endnote reference"/>
    <w:basedOn w:val="888"/>
    <w:uiPriority w:val="99"/>
    <w:semiHidden/>
    <w:unhideWhenUsed/>
    <w:rPr>
      <w:vertAlign w:val="superscript"/>
    </w:rPr>
  </w:style>
  <w:style w:type="paragraph" w:styleId="870">
    <w:name w:val="toc 1"/>
    <w:basedOn w:val="881"/>
    <w:next w:val="881"/>
    <w:uiPriority w:val="39"/>
    <w:unhideWhenUsed/>
    <w:pPr>
      <w:ind w:left="0" w:right="0" w:firstLine="0"/>
      <w:spacing w:after="57"/>
    </w:pPr>
  </w:style>
  <w:style w:type="paragraph" w:styleId="871">
    <w:name w:val="toc 2"/>
    <w:basedOn w:val="881"/>
    <w:next w:val="881"/>
    <w:uiPriority w:val="39"/>
    <w:unhideWhenUsed/>
    <w:pPr>
      <w:ind w:left="283" w:right="0" w:firstLine="0"/>
      <w:spacing w:after="57"/>
    </w:pPr>
  </w:style>
  <w:style w:type="paragraph" w:styleId="872">
    <w:name w:val="toc 3"/>
    <w:basedOn w:val="881"/>
    <w:next w:val="881"/>
    <w:uiPriority w:val="39"/>
    <w:unhideWhenUsed/>
    <w:pPr>
      <w:ind w:left="567" w:right="0" w:firstLine="0"/>
      <w:spacing w:after="57"/>
    </w:pPr>
  </w:style>
  <w:style w:type="paragraph" w:styleId="873">
    <w:name w:val="toc 4"/>
    <w:basedOn w:val="881"/>
    <w:next w:val="881"/>
    <w:uiPriority w:val="39"/>
    <w:unhideWhenUsed/>
    <w:pPr>
      <w:ind w:left="850" w:right="0" w:firstLine="0"/>
      <w:spacing w:after="57"/>
    </w:pPr>
  </w:style>
  <w:style w:type="paragraph" w:styleId="874">
    <w:name w:val="toc 5"/>
    <w:basedOn w:val="881"/>
    <w:next w:val="881"/>
    <w:uiPriority w:val="39"/>
    <w:unhideWhenUsed/>
    <w:pPr>
      <w:ind w:left="1134" w:right="0" w:firstLine="0"/>
      <w:spacing w:after="57"/>
    </w:pPr>
  </w:style>
  <w:style w:type="paragraph" w:styleId="875">
    <w:name w:val="toc 6"/>
    <w:basedOn w:val="881"/>
    <w:next w:val="881"/>
    <w:uiPriority w:val="39"/>
    <w:unhideWhenUsed/>
    <w:pPr>
      <w:ind w:left="1417" w:right="0" w:firstLine="0"/>
      <w:spacing w:after="57"/>
    </w:pPr>
  </w:style>
  <w:style w:type="paragraph" w:styleId="876">
    <w:name w:val="toc 7"/>
    <w:basedOn w:val="881"/>
    <w:next w:val="881"/>
    <w:uiPriority w:val="39"/>
    <w:unhideWhenUsed/>
    <w:pPr>
      <w:ind w:left="1701" w:right="0" w:firstLine="0"/>
      <w:spacing w:after="57"/>
    </w:pPr>
  </w:style>
  <w:style w:type="paragraph" w:styleId="877">
    <w:name w:val="toc 8"/>
    <w:basedOn w:val="881"/>
    <w:next w:val="881"/>
    <w:uiPriority w:val="39"/>
    <w:unhideWhenUsed/>
    <w:pPr>
      <w:ind w:left="1984" w:right="0" w:firstLine="0"/>
      <w:spacing w:after="57"/>
    </w:pPr>
  </w:style>
  <w:style w:type="paragraph" w:styleId="878">
    <w:name w:val="toc 9"/>
    <w:basedOn w:val="881"/>
    <w:next w:val="881"/>
    <w:uiPriority w:val="39"/>
    <w:unhideWhenUsed/>
    <w:pPr>
      <w:ind w:left="2268" w:right="0" w:firstLine="0"/>
      <w:spacing w:after="57"/>
    </w:pPr>
  </w:style>
  <w:style w:type="paragraph" w:styleId="879">
    <w:name w:val="TOC Heading"/>
    <w:uiPriority w:val="39"/>
    <w:unhideWhenUsed/>
  </w:style>
  <w:style w:type="paragraph" w:styleId="880">
    <w:name w:val="table of figures"/>
    <w:basedOn w:val="881"/>
    <w:next w:val="881"/>
    <w:uiPriority w:val="99"/>
    <w:unhideWhenUsed/>
    <w:pPr>
      <w:spacing w:after="0" w:afterAutospacing="0"/>
    </w:pPr>
  </w:style>
  <w:style w:type="paragraph" w:styleId="881" w:default="1">
    <w:name w:val="Normal"/>
    <w:qFormat/>
    <w:pPr>
      <w:widowControl w:val="off"/>
    </w:pPr>
  </w:style>
  <w:style w:type="paragraph" w:styleId="882">
    <w:name w:val="Heading 1"/>
    <w:basedOn w:val="881"/>
    <w:next w:val="881"/>
    <w:link w:val="917"/>
    <w:qFormat/>
    <w:pPr>
      <w:keepLines/>
      <w:keepNext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883">
    <w:name w:val="Heading 2"/>
    <w:basedOn w:val="881"/>
    <w:next w:val="881"/>
    <w:link w:val="919"/>
    <w:qFormat/>
    <w:pPr>
      <w:keepNext/>
      <w:spacing w:before="240" w:after="60"/>
      <w:widowControl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884">
    <w:name w:val="Heading 3"/>
    <w:basedOn w:val="881"/>
    <w:next w:val="881"/>
    <w:link w:val="918"/>
    <w:qFormat/>
    <w:pPr>
      <w:keepNext/>
      <w:spacing w:before="240" w:after="60"/>
      <w:widowControl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885">
    <w:name w:val="Heading 4"/>
    <w:basedOn w:val="911"/>
    <w:next w:val="911"/>
    <w:link w:val="910"/>
    <w:qFormat/>
    <w:pPr>
      <w:ind w:left="0" w:firstLine="709"/>
      <w:keepNext/>
      <w:widowControl/>
      <w:outlineLvl w:val="3"/>
    </w:pPr>
    <w:rPr>
      <w:i/>
      <w:sz w:val="28"/>
      <w:szCs w:val="24"/>
    </w:rPr>
  </w:style>
  <w:style w:type="paragraph" w:styleId="886">
    <w:name w:val="Heading 6"/>
    <w:basedOn w:val="881"/>
    <w:next w:val="881"/>
    <w:link w:val="915"/>
    <w:semiHidden/>
    <w:unhideWhenUsed/>
    <w:qFormat/>
    <w:pPr>
      <w:keepLines/>
      <w:keepNext/>
      <w:spacing w:before="200"/>
      <w:outlineLvl w:val="5"/>
    </w:pPr>
    <w:rPr>
      <w:rFonts w:ascii="Cambria" w:hAnsi="Cambria"/>
      <w:i/>
      <w:iCs/>
      <w:color w:val="243f60"/>
    </w:rPr>
  </w:style>
  <w:style w:type="paragraph" w:styleId="887">
    <w:name w:val="Heading 9"/>
    <w:basedOn w:val="881"/>
    <w:next w:val="881"/>
    <w:link w:val="907"/>
    <w:qFormat/>
    <w:pPr>
      <w:jc w:val="both"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888" w:default="1">
    <w:name w:val="Default Paragraph Font"/>
    <w:uiPriority w:val="1"/>
    <w:semiHidden/>
    <w:unhideWhenUsed/>
  </w:style>
  <w:style w:type="table" w:styleId="889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0" w:default="1">
    <w:name w:val="No List"/>
    <w:uiPriority w:val="99"/>
    <w:semiHidden/>
    <w:unhideWhenUsed/>
  </w:style>
  <w:style w:type="paragraph" w:styleId="891" w:customStyle="1">
    <w:name w:val="ConsNormal"/>
    <w:pPr>
      <w:ind w:firstLine="720"/>
      <w:widowControl w:val="off"/>
    </w:pPr>
    <w:rPr>
      <w:rFonts w:ascii="Arial" w:hAnsi="Arial"/>
    </w:rPr>
  </w:style>
  <w:style w:type="table" w:styleId="892">
    <w:name w:val="Table Grid"/>
    <w:basedOn w:val="889"/>
    <w:uiPriority w:val="39"/>
    <w:pPr>
      <w:widowControl w:val="off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93">
    <w:name w:val="Body Text Indent"/>
    <w:basedOn w:val="881"/>
    <w:link w:val="938"/>
    <w:pPr>
      <w:ind w:firstLine="720"/>
      <w:widowControl/>
    </w:pPr>
    <w:rPr>
      <w:sz w:val="28"/>
    </w:rPr>
  </w:style>
  <w:style w:type="paragraph" w:styleId="894">
    <w:name w:val="Balloon Text"/>
    <w:basedOn w:val="881"/>
    <w:link w:val="924"/>
    <w:rPr>
      <w:rFonts w:ascii="Tahoma" w:hAnsi="Tahoma"/>
      <w:sz w:val="16"/>
      <w:szCs w:val="16"/>
    </w:rPr>
  </w:style>
  <w:style w:type="paragraph" w:styleId="895">
    <w:name w:val="Header"/>
    <w:basedOn w:val="881"/>
    <w:link w:val="927"/>
    <w:pPr>
      <w:tabs>
        <w:tab w:val="center" w:pos="4677" w:leader="none"/>
        <w:tab w:val="right" w:pos="9355" w:leader="none"/>
      </w:tabs>
    </w:pPr>
  </w:style>
  <w:style w:type="character" w:styleId="896">
    <w:name w:val="page number"/>
    <w:basedOn w:val="888"/>
  </w:style>
  <w:style w:type="paragraph" w:styleId="897">
    <w:name w:val="Footer"/>
    <w:basedOn w:val="881"/>
    <w:link w:val="939"/>
    <w:pPr>
      <w:tabs>
        <w:tab w:val="center" w:pos="4677" w:leader="none"/>
        <w:tab w:val="right" w:pos="9355" w:leader="none"/>
      </w:tabs>
    </w:pPr>
  </w:style>
  <w:style w:type="character" w:styleId="898" w:customStyle="1">
    <w:name w:val="Основной текст (13)_"/>
    <w:link w:val="899"/>
    <w:rPr>
      <w:sz w:val="19"/>
      <w:szCs w:val="19"/>
      <w:lang w:bidi="ar-SA"/>
    </w:rPr>
  </w:style>
  <w:style w:type="paragraph" w:styleId="899" w:customStyle="1">
    <w:name w:val="Основной текст (13)"/>
    <w:basedOn w:val="881"/>
    <w:link w:val="898"/>
    <w:pPr>
      <w:spacing w:after="180" w:line="235" w:lineRule="exact"/>
      <w:shd w:val="clear" w:color="auto" w:fill="ffffff"/>
    </w:pPr>
    <w:rPr>
      <w:sz w:val="19"/>
      <w:szCs w:val="19"/>
    </w:rPr>
  </w:style>
  <w:style w:type="character" w:styleId="900" w:customStyle="1">
    <w:name w:val="Основной текст (6)_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styleId="901" w:customStyle="1">
    <w:name w:val="Основной текст (6)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/>
    </w:rPr>
  </w:style>
  <w:style w:type="character" w:styleId="902" w:customStyle="1">
    <w:name w:val="Основной текст_"/>
    <w:link w:val="904"/>
    <w:rPr>
      <w:spacing w:val="-10"/>
      <w:sz w:val="25"/>
      <w:szCs w:val="25"/>
      <w:lang w:bidi="ar-SA"/>
    </w:rPr>
  </w:style>
  <w:style w:type="character" w:styleId="903" w:customStyle="1">
    <w:name w:val="Основной текст1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-10"/>
      <w:position w:val="0"/>
      <w:sz w:val="25"/>
      <w:szCs w:val="25"/>
      <w:u w:val="none"/>
      <w:lang w:val="ru-RU"/>
    </w:rPr>
  </w:style>
  <w:style w:type="paragraph" w:styleId="904" w:customStyle="1">
    <w:name w:val="Основной текст2"/>
    <w:basedOn w:val="881"/>
    <w:link w:val="902"/>
    <w:pPr>
      <w:ind w:hanging="780"/>
      <w:jc w:val="center"/>
      <w:spacing w:before="180" w:after="180" w:line="0" w:lineRule="atLeast"/>
      <w:shd w:val="clear" w:color="auto" w:fill="ffffff"/>
    </w:pPr>
    <w:rPr>
      <w:spacing w:val="-10"/>
      <w:sz w:val="25"/>
      <w:szCs w:val="25"/>
    </w:rPr>
  </w:style>
  <w:style w:type="character" w:styleId="905">
    <w:name w:val="Hyperlink"/>
    <w:uiPriority w:val="99"/>
    <w:rPr>
      <w:color w:val="0000ff"/>
      <w:u w:val="single"/>
    </w:rPr>
  </w:style>
  <w:style w:type="paragraph" w:styleId="906" w:customStyle="1">
    <w:name w:val="Без интервала1"/>
    <w:link w:val="936"/>
    <w:rPr>
      <w:rFonts w:ascii="Calibri" w:hAnsi="Calibri" w:eastAsia="Calibri"/>
      <w:sz w:val="22"/>
      <w:szCs w:val="22"/>
      <w:lang w:eastAsia="en-US"/>
    </w:rPr>
  </w:style>
  <w:style w:type="character" w:styleId="907" w:customStyle="1">
    <w:name w:val="Заголовок 9 Знак"/>
    <w:link w:val="887"/>
    <w:rPr>
      <w:rFonts w:ascii="Arial" w:hAnsi="Arial" w:cs="Arial"/>
      <w:sz w:val="22"/>
      <w:szCs w:val="22"/>
      <w:lang w:val="ru-RU" w:eastAsia="ru-RU" w:bidi="ar-SA"/>
    </w:rPr>
  </w:style>
  <w:style w:type="paragraph" w:styleId="908" w:customStyle="1">
    <w:name w:val="Основной текст 21"/>
    <w:basedOn w:val="881"/>
    <w:pPr>
      <w:ind w:firstLine="720"/>
      <w:jc w:val="both"/>
    </w:pPr>
    <w:rPr>
      <w:rFonts w:ascii="Arial" w:hAnsi="Arial"/>
      <w:sz w:val="24"/>
    </w:rPr>
  </w:style>
  <w:style w:type="paragraph" w:styleId="909" w:customStyle="1">
    <w:name w:val="ConsPlusNormal"/>
    <w:link w:val="940"/>
    <w:uiPriority w:val="99"/>
    <w:qFormat/>
    <w:rPr>
      <w:b/>
      <w:bCs/>
    </w:rPr>
  </w:style>
  <w:style w:type="character" w:styleId="910" w:customStyle="1">
    <w:name w:val="Заголовок 4 Знак"/>
    <w:link w:val="885"/>
    <w:rPr>
      <w:i/>
      <w:sz w:val="28"/>
      <w:szCs w:val="24"/>
    </w:rPr>
  </w:style>
  <w:style w:type="paragraph" w:styleId="911">
    <w:name w:val="Normal Indent"/>
    <w:basedOn w:val="881"/>
    <w:pPr>
      <w:ind w:left="708"/>
    </w:pPr>
  </w:style>
  <w:style w:type="paragraph" w:styleId="912">
    <w:name w:val="List Paragraph"/>
    <w:basedOn w:val="881"/>
    <w:link w:val="954"/>
    <w:qFormat/>
    <w:pPr>
      <w:contextualSpacing/>
      <w:ind w:left="720"/>
    </w:pPr>
  </w:style>
  <w:style w:type="character" w:styleId="913">
    <w:name w:val="Emphasis"/>
    <w:basedOn w:val="888"/>
    <w:qFormat/>
    <w:rPr>
      <w:i/>
      <w:iCs/>
    </w:rPr>
  </w:style>
  <w:style w:type="paragraph" w:styleId="914" w:customStyle="1">
    <w:name w:val="ConsPlusNonformat"/>
    <w:uiPriority w:val="99"/>
    <w:rPr>
      <w:rFonts w:ascii="Courier New" w:hAnsi="Courier New" w:cs="Courier New"/>
    </w:rPr>
  </w:style>
  <w:style w:type="character" w:styleId="915" w:customStyle="1">
    <w:name w:val="Заголовок 6 Знак"/>
    <w:basedOn w:val="888"/>
    <w:link w:val="886"/>
    <w:semiHidden/>
    <w:rPr>
      <w:rFonts w:ascii="Cambria" w:hAnsi="Cambria" w:eastAsia="Times New Roman" w:cs="Times New Roman"/>
      <w:i/>
      <w:iCs/>
      <w:color w:val="243f60"/>
    </w:rPr>
  </w:style>
  <w:style w:type="paragraph" w:styleId="916" w:customStyle="1">
    <w:name w:val="Normal unindented"/>
    <w:qFormat/>
    <w:pPr>
      <w:jc w:val="both"/>
      <w:spacing w:before="120" w:after="120" w:line="276" w:lineRule="auto"/>
    </w:pPr>
    <w:rPr>
      <w:sz w:val="22"/>
      <w:szCs w:val="22"/>
    </w:rPr>
  </w:style>
  <w:style w:type="character" w:styleId="917" w:customStyle="1">
    <w:name w:val="Заголовок 1 Знак"/>
    <w:basedOn w:val="888"/>
    <w:link w:val="882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918" w:customStyle="1">
    <w:name w:val="Заголовок 3 Знак"/>
    <w:basedOn w:val="888"/>
    <w:link w:val="884"/>
    <w:rPr>
      <w:rFonts w:ascii="Cambria" w:hAnsi="Cambria"/>
      <w:b/>
      <w:bCs/>
      <w:sz w:val="26"/>
      <w:szCs w:val="26"/>
      <w:lang w:eastAsia="ar-SA"/>
    </w:rPr>
  </w:style>
  <w:style w:type="character" w:styleId="919" w:customStyle="1">
    <w:name w:val="Заголовок 2 Знак"/>
    <w:link w:val="883"/>
    <w:rPr>
      <w:rFonts w:ascii="Arial" w:hAnsi="Arial" w:cs="Arial"/>
      <w:b/>
      <w:bCs/>
      <w:i/>
      <w:iCs/>
      <w:sz w:val="28"/>
      <w:szCs w:val="28"/>
    </w:rPr>
  </w:style>
  <w:style w:type="paragraph" w:styleId="920" w:customStyle="1">
    <w:name w:val="Список 21"/>
    <w:basedOn w:val="881"/>
    <w:pPr>
      <w:ind w:left="566" w:hanging="283"/>
      <w:spacing w:after="60"/>
      <w:widowControl/>
    </w:pPr>
    <w:rPr>
      <w:rFonts w:eastAsia="Calibri"/>
      <w:sz w:val="24"/>
      <w:szCs w:val="24"/>
      <w:lang w:eastAsia="ar-SA"/>
    </w:rPr>
  </w:style>
  <w:style w:type="paragraph" w:styleId="921" w:customStyle="1">
    <w:name w:val="Маркер1"/>
    <w:basedOn w:val="881"/>
    <w:pPr>
      <w:spacing w:before="120" w:line="300" w:lineRule="atLeast"/>
      <w:tabs>
        <w:tab w:val="left" w:pos="360" w:leader="none"/>
      </w:tabs>
    </w:pPr>
    <w:rPr>
      <w:rFonts w:eastAsia="Calibri"/>
      <w:sz w:val="24"/>
      <w:szCs w:val="24"/>
      <w:lang w:eastAsia="ar-SA"/>
    </w:rPr>
  </w:style>
  <w:style w:type="paragraph" w:styleId="922" w:customStyle="1">
    <w:name w:val="Заголовок 2 К"/>
    <w:basedOn w:val="881"/>
    <w:pPr>
      <w:ind w:firstLine="288"/>
      <w:tabs>
        <w:tab w:val="left" w:pos="0" w:leader="none"/>
      </w:tabs>
    </w:pPr>
    <w:rPr>
      <w:rFonts w:eastAsia="Calibri"/>
      <w:sz w:val="24"/>
      <w:szCs w:val="24"/>
      <w:lang w:eastAsia="ar-SA"/>
    </w:rPr>
  </w:style>
  <w:style w:type="paragraph" w:styleId="923" w:customStyle="1">
    <w:name w:val="List Paragraph1"/>
    <w:basedOn w:val="881"/>
    <w:pPr>
      <w:ind w:left="720"/>
      <w:widowControl/>
    </w:pPr>
    <w:rPr>
      <w:rFonts w:eastAsia="Calibri"/>
      <w:sz w:val="22"/>
      <w:szCs w:val="22"/>
      <w:lang w:eastAsia="ar-SA"/>
    </w:rPr>
  </w:style>
  <w:style w:type="character" w:styleId="924" w:customStyle="1">
    <w:name w:val="Текст выноски Знак"/>
    <w:link w:val="894"/>
    <w:rPr>
      <w:rFonts w:ascii="Tahoma" w:hAnsi="Tahoma" w:cs="Tahoma"/>
      <w:sz w:val="16"/>
      <w:szCs w:val="16"/>
    </w:rPr>
  </w:style>
  <w:style w:type="character" w:styleId="925" w:customStyle="1">
    <w:name w:val="apple-converted-space"/>
    <w:basedOn w:val="888"/>
    <w:uiPriority w:val="99"/>
  </w:style>
  <w:style w:type="paragraph" w:styleId="926" w:customStyle="1">
    <w:name w:val="Warning"/>
    <w:basedOn w:val="881"/>
    <w:next w:val="881"/>
    <w:uiPriority w:val="99"/>
    <w:qFormat/>
    <w:pPr>
      <w:ind w:firstLine="708"/>
      <w:spacing w:before="120" w:after="120" w:line="276" w:lineRule="auto"/>
      <w:widowControl/>
    </w:pPr>
    <w:rPr>
      <w:i/>
      <w:iCs/>
      <w:color w:val="e36c0a"/>
      <w:sz w:val="22"/>
      <w:szCs w:val="22"/>
    </w:rPr>
  </w:style>
  <w:style w:type="character" w:styleId="927" w:customStyle="1">
    <w:name w:val="Верхний колонтитул Знак"/>
    <w:basedOn w:val="888"/>
    <w:link w:val="895"/>
  </w:style>
  <w:style w:type="paragraph" w:styleId="928">
    <w:name w:val="Body Text"/>
    <w:basedOn w:val="881"/>
    <w:link w:val="929"/>
    <w:pPr>
      <w:spacing w:after="140" w:line="288" w:lineRule="auto"/>
      <w:widowControl/>
    </w:pPr>
    <w:rPr>
      <w:color w:val="00000a"/>
      <w:sz w:val="24"/>
      <w:szCs w:val="24"/>
      <w:lang w:eastAsia="ar-SA"/>
    </w:rPr>
  </w:style>
  <w:style w:type="character" w:styleId="929" w:customStyle="1">
    <w:name w:val="Основной текст Знак"/>
    <w:basedOn w:val="888"/>
    <w:link w:val="928"/>
    <w:rPr>
      <w:color w:val="00000a"/>
      <w:sz w:val="24"/>
      <w:szCs w:val="24"/>
      <w:lang w:eastAsia="ar-SA"/>
    </w:rPr>
  </w:style>
  <w:style w:type="character" w:styleId="930" w:customStyle="1">
    <w:name w:val="Знак Знак1"/>
    <w:uiPriority w:val="99"/>
    <w:rPr>
      <w:rFonts w:ascii="Cambria" w:hAnsi="Cambria"/>
      <w:b/>
      <w:sz w:val="32"/>
    </w:rPr>
  </w:style>
  <w:style w:type="paragraph" w:styleId="931" w:customStyle="1">
    <w:name w:val="heading 1 normal"/>
    <w:basedOn w:val="881"/>
    <w:next w:val="881"/>
    <w:qFormat/>
    <w:pPr>
      <w:numPr>
        <w:ilvl w:val="0"/>
        <w:numId w:val="3"/>
      </w:numPr>
      <w:jc w:val="both"/>
      <w:spacing w:before="120" w:after="120" w:line="276" w:lineRule="auto"/>
      <w:widowControl/>
      <w:outlineLvl w:val="0"/>
    </w:pPr>
    <w:rPr>
      <w:rFonts w:ascii="Calibri" w:hAnsi="Calibri"/>
      <w:sz w:val="22"/>
      <w:szCs w:val="22"/>
    </w:rPr>
  </w:style>
  <w:style w:type="paragraph" w:styleId="932">
    <w:name w:val="Body Text Indent 3"/>
    <w:basedOn w:val="881"/>
    <w:link w:val="933"/>
    <w:uiPriority w:val="99"/>
    <w:pPr>
      <w:ind w:left="283" w:firstLine="708"/>
      <w:jc w:val="both"/>
      <w:spacing w:before="120" w:after="120" w:line="276" w:lineRule="auto"/>
      <w:widowControl/>
    </w:pPr>
    <w:rPr>
      <w:rFonts w:ascii="Calibri" w:hAnsi="Calibri"/>
      <w:sz w:val="16"/>
      <w:szCs w:val="16"/>
    </w:rPr>
  </w:style>
  <w:style w:type="character" w:styleId="933" w:customStyle="1">
    <w:name w:val="Основной текст с отступом 3 Знак"/>
    <w:basedOn w:val="888"/>
    <w:link w:val="932"/>
    <w:uiPriority w:val="99"/>
    <w:rPr>
      <w:rFonts w:ascii="Calibri" w:hAnsi="Calibri"/>
      <w:sz w:val="16"/>
      <w:szCs w:val="16"/>
    </w:rPr>
  </w:style>
  <w:style w:type="paragraph" w:styleId="934">
    <w:name w:val="Body Text Indent 2"/>
    <w:basedOn w:val="881"/>
    <w:link w:val="935"/>
    <w:pPr>
      <w:ind w:left="283"/>
      <w:spacing w:after="120" w:line="480" w:lineRule="auto"/>
    </w:pPr>
  </w:style>
  <w:style w:type="character" w:styleId="935" w:customStyle="1">
    <w:name w:val="Основной текст с отступом 2 Знак"/>
    <w:basedOn w:val="888"/>
    <w:link w:val="934"/>
  </w:style>
  <w:style w:type="character" w:styleId="936" w:customStyle="1">
    <w:name w:val="No Spacing Char"/>
    <w:link w:val="906"/>
    <w:rPr>
      <w:rFonts w:ascii="Calibri" w:hAnsi="Calibri" w:eastAsia="Calibri"/>
      <w:sz w:val="22"/>
      <w:szCs w:val="22"/>
      <w:lang w:eastAsia="en-US" w:bidi="ar-SA"/>
    </w:rPr>
  </w:style>
  <w:style w:type="paragraph" w:styleId="937">
    <w:name w:val="No Spacing"/>
    <w:uiPriority w:val="1"/>
    <w:qFormat/>
    <w:rPr>
      <w:rFonts w:ascii="Calibri" w:hAnsi="Calibri"/>
      <w:sz w:val="22"/>
      <w:szCs w:val="22"/>
    </w:rPr>
  </w:style>
  <w:style w:type="character" w:styleId="938" w:customStyle="1">
    <w:name w:val="Основной текст с отступом Знак"/>
    <w:basedOn w:val="888"/>
    <w:link w:val="893"/>
    <w:rPr>
      <w:sz w:val="28"/>
    </w:rPr>
  </w:style>
  <w:style w:type="character" w:styleId="939" w:customStyle="1">
    <w:name w:val="Нижний колонтитул Знак"/>
    <w:basedOn w:val="888"/>
    <w:link w:val="897"/>
  </w:style>
  <w:style w:type="character" w:styleId="940" w:customStyle="1">
    <w:name w:val="ConsPlusNormal Знак"/>
    <w:link w:val="909"/>
    <w:uiPriority w:val="99"/>
    <w:qFormat/>
    <w:rPr>
      <w:b/>
      <w:bCs/>
    </w:rPr>
  </w:style>
  <w:style w:type="paragraph" w:styleId="941">
    <w:name w:val="Title"/>
    <w:basedOn w:val="881"/>
    <w:next w:val="881"/>
    <w:link w:val="942"/>
    <w:uiPriority w:val="99"/>
    <w:qFormat/>
    <w:pPr>
      <w:contextualSpacing/>
      <w:ind w:firstLine="708"/>
      <w:jc w:val="center"/>
      <w:spacing w:before="120" w:after="300"/>
      <w:widowControl/>
      <w:outlineLvl w:val="0"/>
    </w:pPr>
    <w:rPr>
      <w:b/>
      <w:spacing w:val="5"/>
      <w:sz w:val="28"/>
      <w:szCs w:val="52"/>
    </w:rPr>
  </w:style>
  <w:style w:type="character" w:styleId="942" w:customStyle="1">
    <w:name w:val="Название Знак"/>
    <w:basedOn w:val="888"/>
    <w:link w:val="941"/>
    <w:uiPriority w:val="99"/>
    <w:rPr>
      <w:b/>
      <w:spacing w:val="5"/>
      <w:sz w:val="28"/>
      <w:szCs w:val="52"/>
    </w:rPr>
  </w:style>
  <w:style w:type="character" w:styleId="943" w:customStyle="1">
    <w:name w:val="product-spec-item__name-inner"/>
    <w:basedOn w:val="888"/>
  </w:style>
  <w:style w:type="character" w:styleId="944" w:customStyle="1">
    <w:name w:val="product-spec-item__value-inner"/>
    <w:basedOn w:val="888"/>
  </w:style>
  <w:style w:type="character" w:styleId="945" w:customStyle="1">
    <w:name w:val="name"/>
    <w:basedOn w:val="888"/>
  </w:style>
  <w:style w:type="character" w:styleId="946" w:customStyle="1">
    <w:name w:val="val"/>
    <w:basedOn w:val="888"/>
  </w:style>
  <w:style w:type="paragraph" w:styleId="947">
    <w:name w:val="List 2"/>
    <w:basedOn w:val="881"/>
    <w:uiPriority w:val="99"/>
    <w:pPr>
      <w:ind w:left="566" w:hanging="283"/>
      <w:jc w:val="both"/>
      <w:widowControl/>
    </w:pPr>
    <w:rPr>
      <w:sz w:val="22"/>
      <w:szCs w:val="22"/>
    </w:rPr>
  </w:style>
  <w:style w:type="paragraph" w:styleId="948" w:customStyle="1">
    <w:name w:val="Style17"/>
    <w:basedOn w:val="881"/>
    <w:rPr>
      <w:sz w:val="24"/>
      <w:szCs w:val="24"/>
    </w:rPr>
  </w:style>
  <w:style w:type="character" w:styleId="949">
    <w:name w:val="Strong"/>
    <w:basedOn w:val="888"/>
    <w:uiPriority w:val="22"/>
    <w:qFormat/>
    <w:rPr>
      <w:b/>
      <w:bCs/>
    </w:rPr>
  </w:style>
  <w:style w:type="paragraph" w:styleId="950" w:customStyle="1">
    <w:name w:val="Содержимое таблицы"/>
    <w:basedOn w:val="881"/>
    <w:uiPriority w:val="99"/>
    <w:pPr>
      <w:widowControl/>
      <w:suppressLineNumbers/>
    </w:pPr>
    <w:rPr>
      <w:sz w:val="24"/>
      <w:szCs w:val="24"/>
      <w:lang w:eastAsia="zh-CN"/>
    </w:rPr>
  </w:style>
  <w:style w:type="paragraph" w:styleId="951">
    <w:name w:val="Normal (Web)"/>
    <w:basedOn w:val="881"/>
    <w:link w:val="952"/>
    <w:uiPriority w:val="99"/>
    <w:unhideWhenUsed/>
    <w:pPr>
      <w:spacing w:before="100" w:beforeAutospacing="1" w:after="100" w:afterAutospacing="1"/>
      <w:widowControl/>
    </w:pPr>
    <w:rPr>
      <w:sz w:val="24"/>
      <w:szCs w:val="24"/>
    </w:rPr>
  </w:style>
  <w:style w:type="character" w:styleId="952" w:customStyle="1">
    <w:name w:val="Обычный (веб) Знак"/>
    <w:basedOn w:val="888"/>
    <w:link w:val="951"/>
    <w:rPr>
      <w:sz w:val="24"/>
      <w:szCs w:val="24"/>
    </w:rPr>
  </w:style>
  <w:style w:type="character" w:styleId="953" w:customStyle="1">
    <w:name w:val="Обычный1"/>
  </w:style>
  <w:style w:type="character" w:styleId="954" w:customStyle="1">
    <w:name w:val="Абзац списка Знак"/>
    <w:basedOn w:val="953"/>
    <w:link w:val="912"/>
  </w:style>
  <w:style w:type="character" w:styleId="955" w:customStyle="1">
    <w:name w:val="mo-typography"/>
    <w:basedOn w:val="888"/>
  </w:style>
  <w:style w:type="paragraph" w:styleId="956" w:customStyle="1">
    <w:name w:val="mo-typography1"/>
    <w:basedOn w:val="881"/>
    <w:pPr>
      <w:spacing w:before="100" w:beforeAutospacing="1" w:after="100" w:afterAutospacing="1"/>
      <w:widowControl/>
    </w:pPr>
    <w:rPr>
      <w:sz w:val="24"/>
      <w:szCs w:val="24"/>
    </w:rPr>
  </w:style>
  <w:style w:type="character" w:styleId="957" w:customStyle="1">
    <w:name w:val="product-info-specifications-value__value"/>
    <w:basedOn w:val="888"/>
  </w:style>
  <w:style w:type="character" w:styleId="958" w:customStyle="1">
    <w:name w:val="product-info-specifications-value__unit"/>
    <w:basedOn w:val="888"/>
  </w:style>
  <w:style w:type="character" w:styleId="959" w:customStyle="1">
    <w:name w:val="_typography_5vy1f_47"/>
    <w:basedOn w:val="888"/>
  </w:style>
  <w:style w:type="character" w:styleId="960" w:customStyle="1">
    <w:name w:val="pdp_i8a"/>
    <w:basedOn w:val="888"/>
  </w:style>
  <w:style w:type="character" w:styleId="961" w:customStyle="1">
    <w:name w:val="Unresolved Mention"/>
    <w:basedOn w:val="888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Relationship Id="rId12" Type="http://schemas.openxmlformats.org/officeDocument/2006/relationships/hyperlink" Target="consultantplus://offline/ref=FBA21565AF8DEFBF7962AAE295B5DE28C2E38070800BF98870EA9D54C1161EB3578B231E6EB1241F468818D8CCBAAB4EBF294B584F862B04d7lFK" TargetMode="External"/><Relationship Id="rId13" Type="http://schemas.openxmlformats.org/officeDocument/2006/relationships/hyperlink" Target="consultantplus://offline/ref=FBA21565AF8DEFBF7962AAE295B5DE28C2E38070800BF98870EA9D54C1161EB3578B231D6EB72E1D15D208DC85EFA450BC3554585186d2lAK" TargetMode="External"/><Relationship Id="rId14" Type="http://schemas.openxmlformats.org/officeDocument/2006/relationships/hyperlink" Target="consultantplus://offline/ref=FBA21565AF8DEFBF7962AAE295B5DE28C2E38070800BF98870EA9D54C1161EB3578B231D6EB82A1D15D208DC85EFA450BC3554585186d2lAK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1C1A2-1700-4A71-ADD6-AD7BAAD13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VZ</Company>
  <DocSecurity>0</DocSecurity>
  <HyperlinksChanged>false</HyperlinksChanged>
  <LinksUpToDate>false</LinksUpToDate>
  <ScaleCrop>false</ScaleCrop>
  <SharedDoc>false</SharedDoc>
  <Template>Запрос и форма заявки.dotx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А. Коленова</dc:creator>
  <cp:lastModifiedBy>oz4</cp:lastModifiedBy>
  <cp:revision>42</cp:revision>
  <dcterms:created xsi:type="dcterms:W3CDTF">2025-11-17T06:21:00Z</dcterms:created>
  <dcterms:modified xsi:type="dcterms:W3CDTF">2026-10-07T07:09:58Z</dcterms:modified>
</cp:coreProperties>
</file>