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7"/>
        <w:jc w:val="both"/>
        <w:spacing w:before="0" w:beforeAutospacing="0" w:after="0" w:afterAutospacing="0" w:line="273" w:lineRule="auto"/>
      </w:pPr>
      <w:r>
        <w:t xml:space="preserve"> </w:t>
      </w:r>
      <w:r/>
    </w:p>
    <w:p>
      <w:pPr>
        <w:pStyle w:val="837"/>
        <w:jc w:val="right"/>
        <w:spacing w:before="0" w:beforeAutospacing="0" w:after="0" w:afterAutospacing="0" w:line="273" w:lineRule="auto"/>
      </w:pPr>
      <w:r>
        <w:rPr>
          <w:b/>
          <w:bCs/>
          <w:color w:val="000000"/>
          <w:sz w:val="20"/>
          <w:szCs w:val="20"/>
        </w:rPr>
        <w:t xml:space="preserve">Приложение №2  к Запросу</w:t>
      </w:r>
      <w:r/>
    </w:p>
    <w:p>
      <w:pPr>
        <w:pStyle w:val="837"/>
        <w:jc w:val="both"/>
        <w:spacing w:before="0" w:beforeAutospacing="0" w:after="0" w:afterAutospacing="0" w:line="273" w:lineRule="auto"/>
      </w:pPr>
      <w:r>
        <w:t xml:space="preserve"> </w:t>
      </w:r>
      <w:r/>
    </w:p>
    <w:p>
      <w:pPr>
        <w:pStyle w:val="837"/>
        <w:jc w:val="center"/>
        <w:spacing w:before="0" w:beforeAutospacing="0" w:after="0" w:afterAutospacing="0" w:line="273" w:lineRule="auto"/>
      </w:pPr>
      <w:r>
        <w:rPr>
          <w:b/>
          <w:bCs/>
          <w:color w:val="000000"/>
        </w:rPr>
        <w:t xml:space="preserve">ТЕХНИЧЕСКОЕ ЗАДАНИЕ</w:t>
      </w:r>
      <w:r/>
    </w:p>
    <w:p>
      <w:pPr>
        <w:pStyle w:val="837"/>
        <w:jc w:val="center"/>
        <w:spacing w:before="0" w:beforeAutospacing="0" w:after="0" w:afterAutospacing="0"/>
      </w:pPr>
      <w:r>
        <w:t xml:space="preserve"> </w:t>
      </w:r>
      <w:r/>
    </w:p>
    <w:p>
      <w:pPr>
        <w:pStyle w:val="837"/>
        <w:jc w:val="center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Функциональные возможности программного обеспечения </w:t>
      </w:r>
      <w:r>
        <w:rPr>
          <w:b/>
          <w:bCs/>
          <w:color w:val="000000"/>
        </w:rPr>
      </w:r>
    </w:p>
    <w:p>
      <w:pPr>
        <w:pStyle w:val="837"/>
        <w:jc w:val="center"/>
        <w:spacing w:before="0" w:beforeAutospacing="0" w:after="0" w:afterAutospacing="0"/>
      </w:pPr>
      <w:r>
        <w:rPr>
          <w:b/>
          <w:bCs/>
          <w:color w:val="000000"/>
        </w:rPr>
      </w:r>
      <w:r>
        <w:rPr>
          <w:b/>
          <w:bCs/>
          <w:i/>
          <w:iCs/>
          <w:color w:val="000000"/>
        </w:rPr>
        <w:t xml:space="preserve">«Эконом Эксперт. Онлайн»</w:t>
      </w:r>
      <w:r/>
    </w:p>
    <w:p>
      <w:pPr>
        <w:pStyle w:val="837"/>
        <w:jc w:val="both"/>
        <w:spacing w:before="0" w:beforeAutospacing="0" w:after="0" w:afterAutospacing="0" w:line="273" w:lineRule="auto"/>
      </w:pPr>
      <w:r>
        <w:rPr>
          <w:color w:val="000000"/>
          <w:sz w:val="20"/>
          <w:szCs w:val="20"/>
        </w:rPr>
        <w:t xml:space="preserve">Программное обеспечение представляет собой веб-сервис, доступ к которому осуществляется с использованием сети интернет. Программное обеспечение должно включать в себя следующие возможности:</w:t>
      </w:r>
      <w:r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</w:rPr>
        <w:t xml:space="preserve"> </w:t>
      </w:r>
      <w:r/>
    </w:p>
    <w:p>
      <w:pPr>
        <w:pStyle w:val="837"/>
        <w:jc w:val="both"/>
        <w:spacing w:before="0" w:beforeAutospacing="0" w:after="0" w:afterAutospacing="0" w:line="273" w:lineRule="auto"/>
      </w:pPr>
      <w:r>
        <w:rPr>
          <w:b/>
          <w:bCs/>
          <w:color w:val="000000"/>
          <w:sz w:val="20"/>
          <w:szCs w:val="20"/>
        </w:rPr>
        <w:t xml:space="preserve">1. Программный классификатор ОКПД2 и КТРУ со следующими возможностями: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1.1. Иерархический вид справочника, с возможностью раскрытия и закрытия ветвей иерархии;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1.2. Поиск кодов ОКПД 2 и КТРУ по составным частям наименования или кода, поиск по НКМИ;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1.3. Поиск кодов ОКПД 2 и КТРУ в соответствии с частотой упоминания данного кода среди закупок, размещенных на официальном сайте единой информационной системы в сфере закупок (далее – ЕИС);</w:t>
      </w:r>
      <w:r/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1.4. Вывод информации об актуальности кода ОКПД 2 / КТРУ (актуален/исключен). 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1.5. Вывод рекомендуемого метода расчета НМЦК с переходом к расчету;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1.6. Поиск позиций КТРУ, связанных с кодом ОКПД2, вывод похожих позиций КТРУ;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1.7. Поиск  позиций КТРУ по характеристикам ТРУ (обязательным, необязательным); 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1.8. Отображение даты начала обязательного применения  позиции КТРУ;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1.9. Для выбранной позиции КТРУ отображение кода ОКПД2, от которого образована данная позиция КТРУ, а также кодов ОКПД 2 из справочной информации КТРУ;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1.10. Для выбранной позиции КТРУ отображение кода вида НКМИ (если позиция КТРУ содержит данную информацию);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1.11. Для выбранной позиции КТРУ по медицинским изделиям вывод номеров регистрационных удостоверений на медизделия из государственного реестра медицинских изделий в соответствии с НКМИ;</w:t>
      </w:r>
      <w:r/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1.12. Для выбранной позиции КТРУ вывод проверки на допустимость указания дополнительных характеристик;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1.13. Отображение характеристик, содержащихся в позиции КТРУ (обязательные, необязательные), их значений и описания в соответствии с данными КТРУ ЕИС;</w:t>
      </w:r>
      <w:r/>
    </w:p>
    <w:p>
      <w:pPr>
        <w:pStyle w:val="837"/>
        <w:jc w:val="both"/>
        <w:spacing w:before="0" w:beforeAutospacing="0" w:after="0" w:afterAutospacing="0"/>
      </w:pPr>
      <w:r>
        <w:rPr>
          <w:color w:val="000000"/>
          <w:sz w:val="20"/>
          <w:szCs w:val="20"/>
        </w:rPr>
        <w:t xml:space="preserve">1.14. Проверка кодов ОКПД 2 (для КТРУ проверка проводится с учетом кодов ОКПД 2 из справочной информации КТРУ) на наличие в следующих нормативных  правовых актах (с учётом всех последних редакций):</w:t>
      </w:r>
      <w:r/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</w:rPr>
        <w:t xml:space="preserve">1.14.1. Постановление Правительства РФ № 1875 от 23 дек</w:t>
      </w:r>
      <w:r>
        <w:rPr>
          <w:color w:val="000000"/>
          <w:sz w:val="20"/>
          <w:szCs w:val="20"/>
          <w:highlight w:val="none"/>
        </w:rPr>
        <w:t xml:space="preserve">абря 2024 г. (с определением защитной меры (запрет, ограничение, преимущество), применимой для закупаемого товара); 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262626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1.14.2. Постановление Правительства РФ № 1221 от 31 декабря 2009 </w:t>
      </w:r>
      <w:r>
        <w:rPr>
          <w:color w:val="262626"/>
          <w:sz w:val="20"/>
          <w:szCs w:val="20"/>
          <w:highlight w:val="none"/>
        </w:rPr>
        <w:t xml:space="preserve">г.;</w:t>
      </w:r>
      <w:r>
        <w:rPr>
          <w:color w:val="262626"/>
          <w:sz w:val="20"/>
          <w:szCs w:val="20"/>
          <w:highlight w:val="none"/>
        </w:rPr>
      </w:r>
      <w:r>
        <w:rPr>
          <w:color w:val="262626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1.14.3. Постановление Правительства РФ № 1292 от 26 декабря 2013 </w:t>
      </w:r>
      <w:r>
        <w:rPr>
          <w:color w:val="262626"/>
          <w:sz w:val="20"/>
          <w:szCs w:val="20"/>
          <w:highlight w:val="none"/>
        </w:rPr>
        <w:t xml:space="preserve">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1.14.4. Постановление Правительства РФ № 2571 от 29 декабря 2021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1.14.5. Постановление Правительства РФ № 927 от 2 сентября 2015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1.14.6. Постановление Правительства РФ № 1224 от 8 июля 2022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1.14.7. Постановление Правительства РФ № 2411 от 24 декабря 2022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1.14.8. Постановление Правительства РФ N 688 от 15 сентября 2008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1.14.9. Постановление Правительства РФ N 10 от 12 января 2023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1.14.10. Постановление Правительства РФ N 1110 от 1 июля 2021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1.14.11. Постановление Правительства РФ N 1042 от 30 сентября 2015 г.;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1.14.12. Постановление Правительства РФ от 31 декабря 2009 г. N 1222;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1.14.13. Распоряжение Правительства РФ № 21-р от 16 января 2018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1.14.14. Распоряжение Правительства РФ № 471-р от 21 марта 2016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1.14.15. Распоряжение Правительства РФ № 3500-р от 8 декабря 2021 г.;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1.14.16. Распоряжение Правительства РФ от 17 января 2024 г. N 40-р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1.14.17. Распоряжение Правительства Российской Федерации от 29 марта 2024 г. N 744-р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1.14.18. Распоряжение Правительства РФ от 28 апреля 2018 г. N 792-р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262626"/>
          <w:sz w:val="20"/>
          <w:szCs w:val="20"/>
          <w:highlight w:val="none"/>
        </w:rPr>
        <w:t xml:space="preserve">1.14.19. Постановление Правительства РФ от 21 июня 2012 г. N 616 </w:t>
      </w: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(для заказчиков, работающих по 223-ФЗ)</w:t>
      </w:r>
      <w:r>
        <w:rPr>
          <w:color w:val="000000"/>
          <w:sz w:val="20"/>
          <w:szCs w:val="20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1.15. Проверка кода ОКПД2 в перечне СМСП (для заказчиков, работающих по 223-ФЗ)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1.16. Определение наличия кода ОКПД2 в Библиотеке типовых контрактов ЕИС с возможностью перехода в контракт на ЕИС;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1.17. Для кодов ОКПД2 вывод кодов ТН ВЭД ЕАЭС; 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1.18. Рекомендации по применению/не применению НПА;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1.19. Возможность перехода в текст НПА в справочно-правовой системе;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1.20. Возможность добавлять коды в список, проверить список на НПА;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1.21. Возможность проверить список кодов на совместимость (допустимо или нет объединение в одной закупке кодов из списка с точки зрения действующих для выбранных кодов НПА);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1.22. Автоматическое разделение в отдельные лоты кодов из списка в результате проверки на совместимость. Выбор закона, по правилам которого проводится разделение (№ 44-ФЗ/223-ФЗ);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1.23. Поиск в реестре контрактов поставщиков, не включенных в РНП, по выбранном</w:t>
      </w:r>
      <w:r>
        <w:rPr>
          <w:color w:val="000000"/>
          <w:sz w:val="20"/>
          <w:szCs w:val="20"/>
          <w:highlight w:val="none"/>
        </w:rPr>
        <w:t xml:space="preserve">у ОКПД2/КТРУ с фильтрами по региону поставщика, дате заключения, принадлежности к СМП, наличию поставок промышленных товаров, включенных в ГИСП, поставки товаров из РФ/ЕАЭС, наличию исполненных без неустоек контрактов. Вывод контактных данных поставщиков (</w:t>
      </w:r>
      <w:r>
        <w:rPr>
          <w:color w:val="000000"/>
          <w:sz w:val="20"/>
          <w:szCs w:val="20"/>
          <w:highlight w:val="none"/>
        </w:rPr>
        <w:t xml:space="preserve">телефон, email). Возможность просмотреть количество исполненных контрактов у поставщика и перейти в последний исполненный контракт. Возможность запросить коммерческие предложения  по списку выбранных поставщиков и скопировать отмеченные электронные адреса.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1.24. Поиск в государственной информационной системе промышленности (ГИСП) поставщиков по выбранному ОКПД 2/КТРУ с выводом информации о товарах поставщи</w:t>
      </w:r>
      <w:r>
        <w:rPr>
          <w:color w:val="000000"/>
          <w:sz w:val="20"/>
          <w:szCs w:val="20"/>
          <w:highlight w:val="none"/>
        </w:rPr>
        <w:t xml:space="preserve">ка, включенных в реестр российской промышленной продукции (с указанием наименования товара, кода ОКПД2 и номера реестровой записи). Возможность запросить коммерческие предложения  по списку выбранных поставщиков и скопировать отмеченные электронные адреса.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1.25. Возможность сохранения информации по коду в </w:t>
      </w:r>
      <w:r>
        <w:rPr>
          <w:color w:val="000000"/>
          <w:sz w:val="20"/>
          <w:szCs w:val="20"/>
          <w:highlight w:val="none"/>
          <w:lang w:val="en-US"/>
        </w:rPr>
        <w:t xml:space="preserve">Excel</w:t>
      </w:r>
      <w:r>
        <w:rPr>
          <w:color w:val="000000"/>
          <w:sz w:val="20"/>
          <w:szCs w:val="20"/>
          <w:highlight w:val="none"/>
        </w:rPr>
        <w:t xml:space="preserve">.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2. Инструмент расчета сроков для следующих конкурентных процедур: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 По Закону № 44-ФЗ: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2.1.1. Электронный аукцион (до 300 млн. руб.);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2.1.2. Электронный аукцион (от 300 млн. руб.);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2.1.3. Электронный аукцион по строительству и кап.ремонту;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2.1.4. Запрос котировок электронный (до 10 млн. руб);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2.1.5. Электронный конкурс;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2.1.6. Электронный конкурс по ч.19 ст.48;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2.1.7. Электронный конкурс культурное наследие и НИОКР;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2.1.8. Закрытый электронный аукцион;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2.1.9. Закупка у ед.поставщика по ч. 12 ст. 93 (до 5 млн. руб.)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 По Закону № 223-ФЗ: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2.2.1. Аукцион;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2.2.2. Аукцион МСП с НМЦД &gt; 30 млн. руб.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2.2.3. Аукцион МСП с НМЦД ≤ 30 млн.руб.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2.2.4. Конкурс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2.2.5 Конкурс МСП с НМЦД &gt; 30 млн. руб.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2.2.6. Конкурс МСП с НМЦД ≤ 30 млн.руб.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2.2.7. Запрос котировок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2.2.8. Запрос котировок МСП в электронной форме (до 7 млн. руб.)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2.2.9. Запрос предложений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2.2.10. Запрос предложений в электронной форме МСП (до 15 млн. руб.)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2.3. Расчет сроков исполнения контрактов по Закону № 44-ФЗ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spacing w:before="0" w:beforeAutospacing="0" w:after="0" w:afterAutospacing="0"/>
        <w:rPr>
          <w:color w:val="000000"/>
          <w:sz w:val="20"/>
          <w:szCs w:val="20"/>
          <w:highlight w:val="none"/>
          <w:shd w:val="clear" w:color="auto" w:fill="ffffff"/>
        </w:rPr>
      </w:pPr>
      <w:r>
        <w:rPr>
          <w:color w:val="000000"/>
          <w:sz w:val="20"/>
          <w:szCs w:val="20"/>
          <w:highlight w:val="none"/>
          <w:shd w:val="clear" w:color="auto" w:fill="ffffff"/>
        </w:rPr>
        <w:t xml:space="preserve">2.4. Расторжение контракта в связи с односторонним отказом заказчика от его исполнения (для электронных процедур по 44-ФЗ)</w:t>
      </w:r>
      <w:r>
        <w:rPr>
          <w:color w:val="000000"/>
          <w:sz w:val="20"/>
          <w:szCs w:val="20"/>
          <w:highlight w:val="none"/>
          <w:shd w:val="clear" w:color="auto" w:fill="ffffff"/>
        </w:rPr>
      </w:r>
      <w:r>
        <w:rPr>
          <w:color w:val="000000"/>
          <w:sz w:val="20"/>
          <w:szCs w:val="20"/>
          <w:highlight w:val="none"/>
          <w:shd w:val="clear" w:color="auto" w:fill="ffffff"/>
        </w:rPr>
      </w:r>
    </w:p>
    <w:p>
      <w:pPr>
        <w:pStyle w:val="837"/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2.5. Возможность печати полученного расчета (или) сохранения в формате xlsx.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3. Калькулятор расчета НМЦК по методу сопоставимых рыночных цен (анализ рынка), согласно методическим рекомендациям Минэкономразвития РФ (Приказ от 2 октября 2013 г. N 567) со следующими возможностями: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Поиск цен в ЕИС по коду ОКПД2/КТРУ и(или) наименованию товара, работы, услуги среди конт</w:t>
      </w:r>
      <w:r>
        <w:rPr>
          <w:color w:val="000000"/>
          <w:sz w:val="20"/>
          <w:szCs w:val="20"/>
          <w:highlight w:val="none"/>
        </w:rPr>
        <w:t xml:space="preserve">рактов, которые исполнены и по которым не взыскивались неустойки (штрафы, пени) в связи с неисполнением или ненадлежащим исполнением, с фильтрами по региону, цене товара (работы, услуги) дате заключения контракта, сроку исполнения, способу закупки, единице</w:t>
      </w:r>
      <w:r>
        <w:rPr>
          <w:color w:val="000000"/>
          <w:sz w:val="20"/>
          <w:szCs w:val="20"/>
          <w:highlight w:val="none"/>
        </w:rPr>
        <w:t xml:space="preserve"> измерения, поставленному количеству. Возможность выбрать товары, произведенные в РФ/ЕАЭС. Возможность автоматически применить повышающие  коэффициенты к ценам (по способу и по периоду). Возможность уточнить характеристики товаров в исполненных контрактах;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Автоматический расчет и контроль непревышения коэффициента вариации;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добавления цен вручную;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Формирование отчета обоснования НМЦК, сохранение его в формате xlsx и docx;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ТРУ на совместимость (лотирование),  с автоматическим разделением списка на лоты. Выбор закона, по правилам которого  проводится разделение (№ 44-ФЗ/223-ФЗ);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Автоматическая загрузка позиций из файла (excel);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Расчет НМЦЕ для закупок с неопределенным объемом (ч. 24 ст. 22 Закона № 44-ФЗ);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Выбор способа расчета (по минимальной или средней цене);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Сохранение истории расчетов с возможностью их последующего редактирования, копирования, удаления, возможность поиска сохраненного расчета по наименованию;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указать наименование расчета, ответственное лицо и его должность.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Калькулятор расчета НМЦК согласно 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</w:t>
      </w:r>
      <w:r>
        <w:rPr>
          <w:b/>
          <w:bCs/>
          <w:color w:val="000000"/>
          <w:sz w:val="20"/>
          <w:szCs w:val="20"/>
          <w:highlight w:val="none"/>
        </w:rPr>
        <w:t xml:space="preserve">ри осуществлении закупок охранных услуг, утвержденного приказом Федеральной службы войск национальной гвардии РФ от 15 февраля 2021 г. N 45 (далее – Порядок) для осуществления закупок охранных услуг частных охранных организаций со следующими возможностями: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Расчет НМЦК по формуле, указанной в п. 2 Порядка;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выбора следующих вариантов работы поста охраны: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Пост работает в календарные дни (ежедневно);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Пост работает в рабочие дни (пн по пт);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Пост работает только в выходные и праздничные дни;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Пост работает в рабочие дни (пн по сб);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Другой график работы поста (</w:t>
      </w:r>
      <w:r>
        <w:rPr>
          <w:color w:val="000000"/>
          <w:sz w:val="20"/>
          <w:szCs w:val="20"/>
          <w:highlight w:val="none"/>
        </w:rPr>
        <w:t xml:space="preserve"> пост работает в дни недели, выбранные пользователем).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изменения часов работы поста (в т.ч. ночных) и количества постов.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Автоматический расчет количества дней и часов оказания услуг на основании информации из производственного календаря;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составления единого расчета для нескольких постов, как с одинаковым, так и с разным режимом работы;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выбора и применения дополнительных коэффициентов;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включения в расчет дополнительных услуг (СТСО, СЗЖ)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Формирование отчета обоснования НМЦК, сохранение его в формате xlsx;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Сохранение истории расчетов с возможностью их последующего редактирования, копирования, удаления, возможность поиска сохраненного расчета по наименованию;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указать наименование расчета.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tabs>
          <w:tab w:val="left" w:pos="426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b/>
          <w:color w:val="000000"/>
          <w:sz w:val="20"/>
          <w:szCs w:val="20"/>
          <w:highlight w:val="none"/>
        </w:rPr>
      </w:pPr>
      <w:r>
        <w:rPr>
          <w:b/>
          <w:color w:val="000000"/>
          <w:sz w:val="20"/>
          <w:szCs w:val="20"/>
          <w:highlight w:val="none"/>
        </w:rPr>
        <w:t xml:space="preserve">Калькулятор расчета НМЦК согласно п. 6 – 11 Порядка определения начальной (максимальной) цены контракта, цены контракта, заключаемого с единственным поставщико</w:t>
      </w:r>
      <w:r>
        <w:rPr>
          <w:b/>
          <w:color w:val="000000"/>
          <w:sz w:val="20"/>
          <w:szCs w:val="20"/>
          <w:highlight w:val="none"/>
        </w:rPr>
        <w:t xml:space="preserve">м (подрядчиком, исполнителем), начальной цены единицы товара работы услуги при осуществлении закупок топлива моторного, включая автомобильный и авиационный бензин, утвержденного приказом ФАС России от 22 ноября 2024 г. № 894/24 со следующими возможностями:</w:t>
      </w:r>
      <w:r>
        <w:rPr>
          <w:b/>
          <w:color w:val="000000"/>
          <w:sz w:val="20"/>
          <w:szCs w:val="20"/>
          <w:highlight w:val="none"/>
        </w:rPr>
      </w:r>
      <w:r>
        <w:rPr>
          <w:b/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выбора вида топлива (бензин автомобильный, бензин автомобильный АИ-92, бензин автомобильный АИ-95, бензин автомобильный АИ-98 и выше, дизельное топливо);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выбора региона поставки товара; 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Автоматическая загрузка цен на нефтепродукты, опубликованных на сайте 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"https://rosstat.gov.ru/storage/mediabank/139_10-09-2025.html" </w:instrText>
      </w:r>
      <w:r>
        <w:rPr>
          <w:highlight w:val="none"/>
        </w:rPr>
        <w:fldChar w:fldCharType="separate"/>
      </w:r>
      <w:r>
        <w:rPr>
          <w:rStyle w:val="836"/>
          <w:i/>
          <w:iCs/>
          <w:color w:val="1155cc"/>
          <w:sz w:val="20"/>
          <w:szCs w:val="20"/>
          <w:highlight w:val="none"/>
        </w:rPr>
        <w:t xml:space="preserve">https://rosstat.gov.ru</w:t>
      </w:r>
      <w:r>
        <w:rPr>
          <w:rStyle w:val="836"/>
          <w:i/>
          <w:iCs/>
          <w:color w:val="1155cc"/>
          <w:sz w:val="20"/>
          <w:szCs w:val="20"/>
          <w:highlight w:val="none"/>
        </w:rPr>
        <w:fldChar w:fldCharType="end"/>
      </w:r>
      <w:r>
        <w:rPr>
          <w:sz w:val="20"/>
          <w:szCs w:val="20"/>
          <w:highlight w:val="none"/>
        </w:rPr>
        <w:t xml:space="preserve">  за последний из имеющихся периодов по видам топлива и региону поставки;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Возможность самостоятельного выбора пользователем коэффициентов, которые будут применяться в расчете:  индекса потребительских цен (ИПЦ), коэффициента стоимости отвлечения  денежных средств (Кодс) и коэффициента перехода на сезонный вид продукции (Ксез).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Автоматический расчет коэффициента ИПЦ (Кипц), позволяющего проиндексировать цену, полученную из источника статистических данных (рыночный индикатор), с применением ИПЦ на период поставки товара.  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Автоматический расчет Кодс в зависимости от количества дней отсрочки платежа, указанных пользователем.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tabs>
          <w:tab w:val="left" w:pos="426" w:leader="none"/>
        </w:tabs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Автоматический расчет НМЦК, цены единицы топлива с учетом Кипц, Кодс, Ксез.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Расчет НМЦЕ для закупок с неопределенным объемом (ч. 24 ст. 22 Закона № 44-ФЗ);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Сохранение истории расчетов с возможностью их последующего редактирования, копирования, удаления, возможность поиска сохраненного расчета по наименованию;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указать наименование расчета, ответственное лицо и его должность.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Инструмент «Поиск документации»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поиска документации среди размещенных закупок в ЕИС по коду КТРУ/ОКПД2 и (или) наименованию товара, работы, услуги;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учитывать регион и дату публикации;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искать документацию выбранного заказчика;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найти документацию для закупок с неопределенным объемом (ч. 24 ст. 22 Закона № 44-ФЗ)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Информация о наличии / отсутствии жалоб в ФАС по выбранной документации;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Вывод характеристик ТРУ, даты публикации, цены за единицу, способа закупки, наименования заказчика;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Вывод установленных в закупке запретов/ограничений/преимуществ по Постановлению Правительства РФ № 1875 от 23 декабря 2024 г., преимуществ по распоряжению Правительства РФ № 3500-р от 8 декабря 2021 г. и преимуществ по ч. 3 ст. 30 Закона № 44-ФЗ. 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скачать документацию, перейти из результатов поиска на карточку закупки в ЕИС.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Инструмент «Проверка контрагента» для проверки информации об участниках закупки и поставщиках (подрядчиках, исполнителях)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Автоматическая проверка на наличие  информации в РНП по 44-ФЗ и по 223-ФЗ;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 Наличие сведений о лицензиях;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 Наличие сведений о членстве в СРО;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Наличие сведений об обязательной аккредитации;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Автоматическая поверка на привлечение к административной ответственности по ст.19.28 КоАП РФ;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на наличие сведений в перечне иностранных агентов;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на наличие информации в подсанкционном списке по Указу Президента РФ от 03.05.2022 №252;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на наличие информации о банкротстве;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информации о наличии конкурсного производства;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информации об имеющихся исполнительных производствах;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на наличие недоимок, задолженности по уплате налогов и сборов;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информации о наличии судимости за преступления в сфере экономики (ст.158-204 УК РФ), преступления по статьям 289, 290, 291, 291.1 УК РФ;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на наличие информации о дисквалификации;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на наличие сведений об организации в списке офшорных компаний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информации о статусе СМП и СОНО у организации;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Проверка физического лица на наличие статуса плательщика налога на профессиональный доход;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индивидуальной настройки необходимых критериев проверки;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Вывод подсказки для пользователей об обязательности отдельных критериев проверки (право или обязанность) с указанием нормы закона;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Сохранение в файл формата xlsx результатов проверки.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b/>
          <w:bCs/>
          <w:color w:val="000000"/>
          <w:sz w:val="20"/>
          <w:szCs w:val="20"/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Инструмент «ИИ эксперт по закону» </w:t>
      </w:r>
      <w:r>
        <w:rPr>
          <w:b/>
          <w:bCs/>
          <w:color w:val="000000"/>
          <w:sz w:val="20"/>
          <w:szCs w:val="20"/>
          <w:highlight w:val="none"/>
        </w:rPr>
      </w:r>
      <w:r>
        <w:rPr>
          <w:b/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О</w:t>
      </w:r>
      <w:r>
        <w:rPr>
          <w:sz w:val="20"/>
          <w:szCs w:val="20"/>
          <w:highlight w:val="none"/>
        </w:rPr>
        <w:t xml:space="preserve">перативные консультации пользователей по применению 44-ФЗ и иных нор</w:t>
      </w:r>
      <w:r>
        <w:rPr>
          <w:sz w:val="20"/>
          <w:szCs w:val="20"/>
          <w:highlight w:val="none"/>
        </w:rPr>
        <w:t xml:space="preserve">мативных правовых актов, регулирующих закупочную деятельность, на основе искусственного интеллекта. Пользователь задаёт вопрос о закупках, а ИИ анализирует законодательство, разъяснения контролирующих органов и формирует понятный и структурированный ответ.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Сохранение истории запросов.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bCs/>
          <w:color w:val="000000"/>
          <w:sz w:val="20"/>
          <w:szCs w:val="20"/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Сервис «Текущие закупки» для отслеживания событий по закупкам: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bCs/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Блок «Запланированы на текущий год» - данные из Плана-графика, с указанием  наименование объекта закупки, ИКЗ, объема фин. обеспечения на текущий год, и остатка средств по позициям плана-графика;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jc w:val="both"/>
        <w:spacing w:before="0" w:beforeAutospacing="0" w:after="0" w:afterAutospacing="0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возможность просмотра связанных с позицией плана графика закупок и контрактов; 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jc w:val="both"/>
        <w:spacing w:before="0" w:beforeAutospacing="0" w:after="0" w:afterAutospacing="0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возможность перехода в карточки закупки, контракта или плана-графика на ЕИС при нажатии на номер закупки, контракта или ИКЗ;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jc w:val="both"/>
        <w:spacing w:before="0" w:beforeAutospacing="0" w:after="0" w:afterAutospacing="0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возможность поиска закупок по наименованию;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Блок  «Проводятся» - закупки, находящиеся в процессе проведения с указанием приближающихся этапов проведения и сроков по ним;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jc w:val="both"/>
        <w:spacing w:before="0" w:beforeAutospacing="0" w:after="0" w:afterAutospacing="0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возможность перехода в карточку закупки на ЕИС при нажатии на название закупки;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Блок «Контракты на исполнении» - список находящихся на стадии исполнения контрактов (отдельных этапов контрактов) с информацией о произведенных оплатах;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2"/>
          <w:numId w:val="1"/>
        </w:numPr>
        <w:jc w:val="both"/>
        <w:spacing w:before="0" w:beforeAutospacing="0" w:after="0" w:afterAutospacing="0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возможность перехода в карточку контракта на ЕИС при нажатии на название закупки.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Сервис «Реестр закупок»: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Подгружаются все контакты по 44-ФЗ из ЕИС, с возможностью фильтрации по дате, способу закупки, цене контракта, статусу на ЕИС;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формирования отчета об объеме закупок у СМП за выбранный  год;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загрузки прямых договоров по п.4, п.5 ч.1 ст. 93 44-ФЗ (из файла excel) и возможность ручного внесения прямых договоров;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Возможность выгрузки данных в excel - таблицу;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Расчет пеней, начисляемых поставщику.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b/>
          <w:sz w:val="20"/>
          <w:szCs w:val="20"/>
          <w:highlight w:val="none"/>
        </w:rPr>
      </w:pPr>
      <w:r>
        <w:rPr>
          <w:b/>
          <w:sz w:val="20"/>
          <w:szCs w:val="20"/>
          <w:highlight w:val="none"/>
        </w:rPr>
        <w:t xml:space="preserve">Сервис «Планирование закупки»</w:t>
      </w:r>
      <w:r>
        <w:rPr>
          <w:b/>
          <w:sz w:val="20"/>
          <w:szCs w:val="20"/>
          <w:highlight w:val="none"/>
        </w:rPr>
      </w:r>
      <w:r>
        <w:rPr>
          <w:b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Создание заявки на закупку с возможностью заполнения следующих данных и их редактирования в дальнейшем: номер заявки, статус зая</w:t>
      </w:r>
      <w:r>
        <w:rPr>
          <w:bCs/>
          <w:color w:val="000000"/>
          <w:sz w:val="20"/>
          <w:szCs w:val="20"/>
          <w:highlight w:val="none"/>
        </w:rPr>
        <w:t xml:space="preserve">вки, дата заявки, источник финансирования, наименование подразделения и наименование ТРУ, ответственное лицо, сумма по заявке, срок поставки, а так же возможность добавления и редактирования дополнительных полей с индивидуальной доп. информацией по заявке;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Подготовка описания объекта закупки: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- подбор кода ОКПД2/КТРУ,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- возможность выбора характеристик, предусмотренных позицией КТРУ,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- возможность указания дополнительных характеристик, не предусмотренных позицией КТРУ, в разрешенных законом случаях и обоснования их применения;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- возможность указаниях характеристик, если в закупке  используется не позиция КТРУ, а код ОКПД2;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- выбор инструкций по заполнению структурированной заявки участником закупки;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- возможность загрузить позиции из файла формата </w:t>
      </w:r>
      <w:r>
        <w:rPr>
          <w:sz w:val="20"/>
          <w:szCs w:val="20"/>
          <w:highlight w:val="none"/>
          <w:lang w:val="en-US"/>
        </w:rPr>
        <w:t xml:space="preserve">xlsx</w:t>
      </w:r>
      <w:r>
        <w:rPr>
          <w:sz w:val="20"/>
          <w:szCs w:val="20"/>
          <w:highlight w:val="none"/>
        </w:rPr>
        <w:t xml:space="preserve">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- возможность скопировать в новую закупку выбранные позиции;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- </w:t>
      </w:r>
      <w:r>
        <w:rPr>
          <w:sz w:val="20"/>
          <w:szCs w:val="20"/>
          <w:highlight w:val="none"/>
        </w:rPr>
        <w:t xml:space="preserve"> формирование файла «Описание объекта закупки» в формате </w:t>
      </w:r>
      <w:r>
        <w:rPr>
          <w:sz w:val="20"/>
          <w:szCs w:val="20"/>
          <w:highlight w:val="none"/>
          <w:lang w:val="en-US"/>
        </w:rPr>
        <w:t xml:space="preserve">Word</w:t>
      </w:r>
      <w:r>
        <w:rPr>
          <w:sz w:val="20"/>
          <w:szCs w:val="20"/>
          <w:highlight w:val="none"/>
        </w:rPr>
        <w:t xml:space="preserve"> или </w:t>
      </w:r>
      <w:r>
        <w:rPr>
          <w:sz w:val="20"/>
          <w:szCs w:val="20"/>
          <w:highlight w:val="none"/>
          <w:lang w:val="en-US"/>
        </w:rPr>
        <w:t xml:space="preserve">Excel</w:t>
      </w:r>
      <w:r>
        <w:rPr>
          <w:sz w:val="20"/>
          <w:szCs w:val="20"/>
          <w:highlight w:val="none"/>
        </w:rPr>
        <w:t xml:space="preserve">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Проверка ТРУ, включенных в описание объекта закупки, на совместимость (лотирование), с автоматическим разделением списка на лоты. Выбор закона, по правилам которого  проводится разделение (№ 44-ФЗ/223-ФЗ);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Поиск в реестре контрактов поставщиков не включенных в РНП, для ТРУ, включенных в описание объекта закупки, с фильтрами по региону поставщика, дате заключения, принадлежности к СМП, наличию исполненных без неустоек контра</w:t>
      </w:r>
      <w:r>
        <w:rPr>
          <w:sz w:val="20"/>
          <w:szCs w:val="20"/>
          <w:highlight w:val="none"/>
        </w:rPr>
        <w:t xml:space="preserve">ктов. Вывод контактных данных поставщиков (телефон, email). Возможность просмотреть количество исполненных контрактов у поставщика. Возможность запросить коммерческие предложения  по списку выбранных поставщиков и скопировать отмеченные электронные адреса;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1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Расчет НМЦК для ТРУ, включенных в описание объекта закупки, по методу сопоставимых рыночных цен (анализ рынка) согласно методическим рекомендациям Минэкономразвития РФ (Приказ от 2 октября 2013 г. N 567):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- поиск цен в ЕИС по коду ОКПД2/КТРУ и(или) наименованию товара, работы, услуги среди конт</w:t>
      </w:r>
      <w:r>
        <w:rPr>
          <w:color w:val="000000"/>
          <w:sz w:val="20"/>
          <w:szCs w:val="20"/>
          <w:highlight w:val="none"/>
        </w:rPr>
        <w:t xml:space="preserve">рактов, которые исполнены и по которым не взыскивались неустойки (штрафы, пени) в связи с неисполнением или ненадлежащим исполнением, с фильтрами по региону, цене товара (работы, услуги) дате заключения контракта, сроку исполнения, способу закупки, единице</w:t>
      </w:r>
      <w:r>
        <w:rPr>
          <w:color w:val="000000"/>
          <w:sz w:val="20"/>
          <w:szCs w:val="20"/>
          <w:highlight w:val="none"/>
        </w:rPr>
        <w:t xml:space="preserve"> измерения, поставленному количеству. Возможность выбрать товары, произведенные в РФ/ЕАЭС. Возможность автоматически применить повышающие  коэффициенты к ценам (по способу и по периоду). Возможность уточнить характеристики товаров в исполненных контрактах;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- автоматический расчет и контроль непревышения коэффициента вариации;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ind w:firstLine="360"/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highlight w:val="none"/>
        </w:rPr>
        <w:t xml:space="preserve">- </w:t>
      </w:r>
      <w:r>
        <w:rPr>
          <w:color w:val="000000"/>
          <w:sz w:val="20"/>
          <w:szCs w:val="20"/>
          <w:highlight w:val="none"/>
        </w:rPr>
        <w:t xml:space="preserve">возможность добавления цен вручную;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ind w:firstLine="360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- ф</w:t>
      </w:r>
      <w:r>
        <w:rPr>
          <w:color w:val="000000"/>
          <w:sz w:val="20"/>
          <w:szCs w:val="20"/>
          <w:highlight w:val="none"/>
        </w:rPr>
        <w:t xml:space="preserve">ормирование отчета обоснования НМЦК, сохранение его в формате xlsx и docx.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Раздел «Новости»: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Ежедневные новости по законодательству о гос.закупках.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/>
        <w:rPr>
          <w:b/>
          <w:bCs/>
          <w:color w:val="000000"/>
          <w:sz w:val="20"/>
          <w:szCs w:val="20"/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Раздел «Полезные материалы» </w:t>
      </w:r>
      <w:r>
        <w:rPr>
          <w:b/>
          <w:bCs/>
          <w:color w:val="000000"/>
          <w:sz w:val="20"/>
          <w:szCs w:val="20"/>
          <w:highlight w:val="none"/>
        </w:rPr>
      </w:r>
      <w:r>
        <w:rPr>
          <w:b/>
          <w:bCs/>
          <w:color w:val="000000"/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/>
        <w:rPr>
          <w:bCs/>
          <w:color w:val="000000"/>
          <w:sz w:val="20"/>
          <w:szCs w:val="20"/>
          <w:highlight w:val="none"/>
        </w:rPr>
      </w:pPr>
      <w:r>
        <w:rPr>
          <w:bCs/>
          <w:color w:val="000000"/>
          <w:sz w:val="20"/>
          <w:szCs w:val="20"/>
          <w:highlight w:val="none"/>
        </w:rPr>
        <w:t xml:space="preserve">Статьи и памятки, вебинары, вопросы эксперту, шаблоны документов по госзакупкам.</w:t>
      </w:r>
      <w:r>
        <w:rPr>
          <w:bCs/>
          <w:color w:val="000000"/>
          <w:sz w:val="20"/>
          <w:szCs w:val="20"/>
          <w:highlight w:val="none"/>
        </w:rPr>
      </w:r>
      <w:r>
        <w:rPr>
          <w:bCs/>
          <w:color w:val="000000"/>
          <w:sz w:val="20"/>
          <w:szCs w:val="20"/>
          <w:highlight w:val="none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sz w:val="20"/>
          <w:szCs w:val="20"/>
          <w:highlight w:val="none"/>
        </w:rPr>
      </w:pPr>
      <w:r/>
      <w:bookmarkStart w:id="0" w:name="_GoBack"/>
      <w:r/>
      <w:bookmarkEnd w:id="0"/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rPr>
          <w:b/>
          <w:sz w:val="20"/>
          <w:szCs w:val="20"/>
          <w:highlight w:val="none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Технические требования: </w:t>
      </w:r>
      <w:r>
        <w:rPr>
          <w:b/>
          <w:sz w:val="20"/>
          <w:szCs w:val="20"/>
          <w:highlight w:val="none"/>
        </w:rPr>
      </w:r>
      <w:r>
        <w:rPr>
          <w:b/>
          <w:sz w:val="20"/>
          <w:szCs w:val="20"/>
          <w:highlight w:val="none"/>
        </w:rPr>
      </w:r>
    </w:p>
    <w:p>
      <w:pPr>
        <w:pStyle w:val="837"/>
        <w:ind w:left="426"/>
        <w:jc w:val="both"/>
        <w:spacing w:before="0" w:beforeAutospacing="0" w:after="0" w:afterAutospacing="0" w:line="273" w:lineRule="auto"/>
        <w:tabs>
          <w:tab w:val="left" w:pos="426" w:leader="none"/>
        </w:tabs>
        <w:rPr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  <w:t xml:space="preserve">Сервис должен поддерживать стабильную работу в следующих браузерах: Chrome,  Яндекс, Firefox, Opera.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37"/>
        <w:jc w:val="both"/>
        <w:spacing w:before="0" w:beforeAutospacing="0" w:after="0" w:afterAutospacing="0" w:line="273" w:lineRule="auto"/>
        <w:rPr>
          <w:highlight w:val="none"/>
        </w:rPr>
      </w:pPr>
      <w:r>
        <w:rPr>
          <w:highlight w:val="none"/>
        </w:rPr>
        <w:t xml:space="preserve"> </w:t>
      </w:r>
      <w:r>
        <w:rPr>
          <w:highlight w:val="none"/>
        </w:rPr>
      </w:r>
      <w:r>
        <w:rPr>
          <w:highlight w:val="none"/>
        </w:rPr>
      </w:r>
    </w:p>
    <w:p>
      <w:pPr>
        <w:pStyle w:val="837"/>
        <w:numPr>
          <w:ilvl w:val="0"/>
          <w:numId w:val="1"/>
        </w:numPr>
        <w:jc w:val="both"/>
        <w:spacing w:before="0" w:beforeAutospacing="0" w:after="0" w:afterAutospacing="0" w:line="273" w:lineRule="auto"/>
        <w:tabs>
          <w:tab w:val="left" w:pos="284" w:leader="none"/>
        </w:tabs>
        <w:rPr>
          <w:b/>
          <w:sz w:val="20"/>
          <w:szCs w:val="20"/>
        </w:rPr>
      </w:pPr>
      <w:r>
        <w:rPr>
          <w:b/>
          <w:bCs/>
          <w:color w:val="000000"/>
          <w:sz w:val="20"/>
          <w:szCs w:val="20"/>
          <w:highlight w:val="none"/>
        </w:rPr>
        <w:t xml:space="preserve">Требования к оказываемым услугам сопровождения программного </w:t>
      </w:r>
      <w:r>
        <w:rPr>
          <w:b/>
          <w:bCs/>
          <w:color w:val="000000"/>
          <w:sz w:val="20"/>
          <w:szCs w:val="20"/>
        </w:rPr>
        <w:t xml:space="preserve">обеспечения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837"/>
        <w:ind w:left="360"/>
        <w:jc w:val="both"/>
        <w:spacing w:before="0" w:beforeAutospacing="0" w:after="0" w:afterAutospacing="0" w:line="273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Пользователям должна оказываться </w:t>
      </w:r>
      <w:r>
        <w:rPr>
          <w:b/>
          <w:bCs/>
          <w:color w:val="000000"/>
          <w:sz w:val="20"/>
          <w:szCs w:val="20"/>
        </w:rPr>
        <w:t xml:space="preserve">техническая и консультативная поддержка</w:t>
      </w:r>
      <w:r>
        <w:rPr>
          <w:color w:val="000000"/>
          <w:sz w:val="20"/>
          <w:szCs w:val="20"/>
        </w:rPr>
        <w:t xml:space="preserve"> по работе с  программным продуктом посредством телефонной связи и электронной почты.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7"/>
        <w:jc w:val="both"/>
        <w:spacing w:before="0" w:beforeAutospacing="0" w:after="0" w:afterAutospacing="0" w:line="273" w:lineRule="auto"/>
      </w:pPr>
      <w:r>
        <w:t xml:space="preserve">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76" w:lineRule="auto"/>
      </w:pPr>
      <w:r>
        <w:separator/>
      </w:r>
      <w:r/>
    </w:p>
  </w:footnote>
  <w:footnote w:type="continuationSeparator" w:id="0">
    <w:p>
      <w:pPr>
        <w:spacing w:before="0" w:after="0" w:line="276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3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3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3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3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3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3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3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3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3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uiPriority w:val="0"/>
    <w:qFormat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styleId="833" w:default="1">
    <w:name w:val="Default Paragraph Font"/>
    <w:uiPriority w:val="1"/>
    <w:semiHidden/>
    <w:unhideWhenUsed/>
    <w:qFormat/>
  </w:style>
  <w:style w:type="table" w:styleId="834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835">
    <w:name w:val="Emphasis"/>
    <w:basedOn w:val="833"/>
    <w:uiPriority w:val="20"/>
    <w:qFormat/>
    <w:rPr>
      <w:i/>
      <w:iCs/>
    </w:rPr>
  </w:style>
  <w:style w:type="character" w:styleId="836">
    <w:name w:val="Hyperlink"/>
    <w:basedOn w:val="833"/>
    <w:uiPriority w:val="99"/>
    <w:semiHidden/>
    <w:unhideWhenUsed/>
    <w:qFormat/>
    <w:rPr>
      <w:color w:val="0000ff"/>
      <w:u w:val="single"/>
    </w:rPr>
  </w:style>
  <w:style w:type="paragraph" w:styleId="837">
    <w:name w:val="Normal (Web)"/>
    <w:basedOn w:val="832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 w:customStyle="1">
    <w:name w:val="docdata"/>
    <w:basedOn w:val="832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9">
    <w:name w:val="List Paragraph"/>
    <w:basedOn w:val="832"/>
    <w:uiPriority w:val="34"/>
    <w:qFormat/>
    <w:pPr>
      <w:contextualSpacing/>
      <w:ind w:left="720"/>
    </w:pPr>
  </w:style>
  <w:style w:type="numbering" w:styleId="8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oz4</cp:lastModifiedBy>
  <cp:revision>34</cp:revision>
  <dcterms:created xsi:type="dcterms:W3CDTF">2025-01-20T11:53:00Z</dcterms:created>
  <dcterms:modified xsi:type="dcterms:W3CDTF">2026-10-07T07:10:44Z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eyJoZGlkIjoiNjU5MWRkNjM0MzFmMDdjZWMwMTE3MzM4NDYzYzdkYWEiLCJ1c2VySWQiOiI4NDIxODIwMDg4MzkifQ==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10BD01F7B6994D87A5A69DC5890CE818_13</vt:lpwstr>
  </property>
</Properties>
</file>