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right"/>
        <w:spacing w:before="0" w:after="0" w:line="240" w:lineRule="auto"/>
        <w:rPr>
          <w:b/>
          <w:bCs/>
          <w:highlight w:val="yellow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0"/>
        <w:jc w:val="right"/>
        <w:spacing w:before="0" w:after="0" w:line="240" w:lineRule="auto"/>
        <w:rPr>
          <w:b/>
          <w:bCs/>
          <w:highlight w:val="none"/>
        </w:rPr>
      </w:pPr>
      <w:r>
        <w:rPr>
          <w:b/>
          <w:bCs/>
          <w:highlight w:val="none"/>
        </w:rPr>
        <w:t xml:space="preserve">Приложение №2 к запросу</w:t>
      </w:r>
      <w:r>
        <w:rPr>
          <w:b/>
          <w:bCs/>
          <w:highlight w:val="none"/>
        </w:rPr>
      </w:r>
    </w:p>
    <w:p>
      <w:pPr>
        <w:ind w:left="0" w:right="0" w:firstLine="0"/>
        <w:jc w:val="left"/>
        <w:spacing w:before="0" w:after="0" w:line="240" w:lineRule="auto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left="0" w:right="0" w:firstLine="0"/>
        <w:jc w:val="left"/>
        <w:spacing w:before="0" w:after="0" w:line="240" w:lineRule="auto"/>
        <w:rPr>
          <w:b/>
          <w:bCs/>
          <w:highlight w:val="none"/>
        </w:rPr>
      </w:pPr>
      <w:r>
        <w:rPr>
          <w:b/>
          <w:bCs/>
          <w:highlight w:val="yellow"/>
        </w:rPr>
        <w:t xml:space="preserve">ПРОЕКТ по 44-ФЗ</w:t>
      </w:r>
      <w:r>
        <w:rPr>
          <w:b/>
          <w:bCs/>
          <w:highlight w:val="yellow"/>
        </w:rPr>
      </w:r>
      <w:r>
        <w:rPr>
          <w:b/>
          <w:bCs/>
          <w:highlight w:val="none"/>
        </w:rPr>
      </w:r>
    </w:p>
    <w:p>
      <w:pPr>
        <w:jc w:val="left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</w:p>
    <w:p>
      <w:pPr>
        <w:jc w:val="center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</w:p>
    <w:p>
      <w:pPr>
        <w:pStyle w:val="667"/>
        <w:jc w:val="center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КОНТРАКТ № _____</w:t>
      </w:r>
      <w:r>
        <w:rPr>
          <w:b/>
          <w:sz w:val="22"/>
          <w:szCs w:val="22"/>
        </w:rPr>
        <w:t xml:space="preserve">/26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667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rPr>
          <w:sz w:val="22"/>
          <w:szCs w:val="22"/>
        </w:rPr>
      </w:pPr>
      <w:r>
        <w:rPr>
          <w:sz w:val="22"/>
          <w:szCs w:val="22"/>
        </w:rPr>
        <w:t xml:space="preserve">г. Владимир</w:t>
        <w:tab/>
        <w:tab/>
        <w:tab/>
        <w:tab/>
        <w:t xml:space="preserve">       </w:t>
        <w:tab/>
        <w:tab/>
        <w:t xml:space="preserve">                                            «___» ____________ 2026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9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Государственное казенное учреждение Владимирской области «Центр безопасности дорожного движения Владимирской области» (ГКУ ВО «ЦБДД ВО»), </w:t>
      </w:r>
      <w:r>
        <w:rPr>
          <w:sz w:val="22"/>
          <w:szCs w:val="22"/>
        </w:rPr>
        <w:t xml:space="preserve">именуемое в дальнейшем «Заказчик» в лице директора учреждения Булатова Евгения Олеговича, действующего на основании Устава, с одной стороны, и </w:t>
      </w:r>
      <w:r>
        <w:rPr>
          <w:sz w:val="22"/>
          <w:szCs w:val="22"/>
        </w:rPr>
        <w:t xml:space="preserve">__________________________________________________________</w:t>
      </w:r>
      <w:r>
        <w:rPr>
          <w:sz w:val="22"/>
          <w:szCs w:val="22"/>
        </w:rPr>
        <w:t xml:space="preserve">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именуемое в дальнейшем «Поставщик», в лице _______________________________________________, действующего на основании ____________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с другой стороны, далее совместно именуемые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«Стороны»,</w:t>
      </w:r>
      <w:r>
        <w:rPr>
          <w:sz w:val="22"/>
          <w:szCs w:val="22"/>
        </w:rPr>
        <w:t xml:space="preserve"> в соответс</w:t>
      </w:r>
      <w:r>
        <w:rPr>
          <w:sz w:val="22"/>
          <w:szCs w:val="22"/>
        </w:rPr>
        <w:t xml:space="preserve">т</w:t>
      </w:r>
      <w:r>
        <w:rPr>
          <w:sz w:val="22"/>
          <w:szCs w:val="22"/>
        </w:rPr>
        <w:t xml:space="preserve">в</w:t>
      </w:r>
      <w:r>
        <w:rPr>
          <w:sz w:val="22"/>
          <w:szCs w:val="22"/>
        </w:rPr>
        <w:t xml:space="preserve">ии с требованиями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(далее-Контракт), о нижеследующем: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numPr>
          <w:ilvl w:val="0"/>
          <w:numId w:val="2"/>
        </w:numPr>
        <w:ind w:left="0" w:right="0" w:firstLine="709"/>
        <w:jc w:val="center"/>
        <w:tabs>
          <w:tab w:val="clear" w:pos="0" w:leader="none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ПРЕДМЕТ КОНТРАКТА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ind w:left="709" w:right="0" w:firstLine="0"/>
        <w:jc w:val="center"/>
        <w:tabs>
          <w:tab w:val="clear" w:pos="0" w:leader="none"/>
        </w:tabs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Поставщик обязуется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поставить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планшеты компьютерные</w:t>
      </w:r>
      <w:r>
        <w:rPr>
          <w:sz w:val="22"/>
          <w:szCs w:val="22"/>
        </w:rPr>
        <w:t xml:space="preserve"> согласно Приложения № 1 к Контракту «Спецификация» и Приложения № 2 к Контракту «Техническое задание» и передать его Заказчику, а Заказчик обязуется принять Товар и оплатить его.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  <w:highlight w:val="yellow"/>
        </w:rPr>
      </w:pPr>
      <w:r>
        <w:rPr>
          <w:sz w:val="22"/>
          <w:szCs w:val="22"/>
        </w:rPr>
        <w:t xml:space="preserve">1.2</w:t>
      </w:r>
      <w:r>
        <w:rPr>
          <w:sz w:val="22"/>
          <w:szCs w:val="22"/>
          <w:shd w:val="clear" w:color="auto" w:fill="auto"/>
        </w:rPr>
        <w:t xml:space="preserve">. ИКЗ: 262332909487233290100100010000000244.</w:t>
      </w:r>
      <w:r>
        <w:rPr>
          <w:sz w:val="22"/>
          <w:szCs w:val="22"/>
          <w:highlight w:val="yellow"/>
        </w:rPr>
      </w:r>
      <w:r>
        <w:rPr>
          <w:sz w:val="22"/>
          <w:szCs w:val="22"/>
          <w:highlight w:val="yellow"/>
        </w:rPr>
      </w:r>
    </w:p>
    <w:p>
      <w:pPr>
        <w:pStyle w:val="667"/>
        <w:ind w:left="0" w:right="0" w:firstLine="709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1.3. Поставка Товара, указанного в пункте 1.1 настоящего контракта, осуществляется одной партией с даты заключения контракта в течение </w:t>
      </w:r>
      <w:r>
        <w:rPr>
          <w:b/>
          <w:bCs/>
          <w:sz w:val="22"/>
          <w:szCs w:val="22"/>
        </w:rPr>
        <w:t xml:space="preserve">30</w:t>
      </w:r>
      <w:r>
        <w:rPr>
          <w:b/>
          <w:bCs/>
          <w:sz w:val="22"/>
          <w:szCs w:val="22"/>
        </w:rPr>
        <w:t xml:space="preserve"> (</w:t>
      </w:r>
      <w:r>
        <w:rPr>
          <w:b/>
          <w:bCs/>
          <w:sz w:val="22"/>
          <w:szCs w:val="22"/>
        </w:rPr>
        <w:t xml:space="preserve">тридцать) календарных дней.</w:t>
      </w:r>
      <w:r>
        <w:rPr>
          <w:sz w:val="22"/>
          <w:szCs w:val="22"/>
        </w:rPr>
        <w:t xml:space="preserve"> Возможна досрочная поставка Товара.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left="0" w:right="0" w:firstLine="709"/>
        <w:jc w:val="both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1.4. При исполнении контракта замена товара на происходящий из иностранного государства товар, в отношении которого установленно ограничение, если контракт предусматривает поставку товара российского происхождения, не допускается</w:t>
      </w:r>
      <w:r>
        <w:rPr>
          <w:sz w:val="22"/>
          <w:szCs w:val="22"/>
          <w:highlight w:val="none"/>
        </w:rPr>
        <w:t xml:space="preserve">. </w:t>
      </w:r>
      <w:r>
        <w:rPr>
          <w:sz w:val="22"/>
          <w:szCs w:val="22"/>
          <w:highlight w:val="none"/>
        </w:rPr>
      </w:r>
    </w:p>
    <w:p>
      <w:pPr>
        <w:ind w:left="0" w:right="0" w:firstLine="709"/>
        <w:jc w:val="both"/>
        <w:rPr>
          <w:sz w:val="22"/>
          <w:szCs w:val="22"/>
          <w:highlight w:val="none"/>
        </w:rPr>
      </w:pPr>
      <w:r>
        <w:rPr>
          <w:sz w:val="22"/>
          <w:szCs w:val="22"/>
          <w:highlight w:val="none"/>
        </w:rPr>
        <w:t xml:space="preserve">Номер реестровой записи из РППП _______________;</w:t>
      </w:r>
      <w:r>
        <w:rPr>
          <w:sz w:val="22"/>
          <w:szCs w:val="22"/>
          <w:highlight w:val="none"/>
        </w:rPr>
      </w:r>
    </w:p>
    <w:p>
      <w:pPr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  <w:t xml:space="preserve">Номер реестровой записи из реестра российского ПО _______________.</w:t>
      </w:r>
      <w:r>
        <w:rPr>
          <w:sz w:val="22"/>
          <w:szCs w:val="22"/>
          <w:highlight w:val="none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Место поставки Товара: г. Владимир, ул. Вокзальная, д. 1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jc w:val="center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2. КАЧЕСТВО ТОВАРА, ГАРАНТИЙНЫЙ СРОК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ind w:right="-1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Качество поставляемого Товара должно соответствовать ГОСТам, техническим условиям, техническим регламентам, нормативам, стандартам, установленным законодательством для </w:t>
      </w:r>
      <w:r>
        <w:rPr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5" cy="4445"/>
                <wp:effectExtent l="0" t="0" r="0" b="0"/>
                <wp:docPr id="1" name="_x005F_x0000_i1026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_x005F_x0000_i1026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445" cy="44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0.35pt;height:0.3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sz w:val="22"/>
          <w:szCs w:val="22"/>
        </w:rPr>
        <w:t xml:space="preserve">данного вида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right="-1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Гарантийный срок.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right="-1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2.2.1. Гарантийный срок, установленный на товар, отсчитывается с момента передачи товара Заказчику.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right="-1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2.2.3. 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right="-1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На товар (комплектующее изделие), переданн</w:t>
      </w:r>
      <w:r>
        <w:rPr>
          <w:sz w:val="22"/>
          <w:szCs w:val="22"/>
        </w:rPr>
        <w:t xml:space="preserve">ый Поставщиком взамен товара (комплектующего изделия), в котором в течение гарантийного срока были обнаружены недостатки (статья 476 Гражданского кодекса Российской Федерации), устанавливается гарантийный срок той же продолжительности, что и на замененный.</w:t>
      </w:r>
      <w:r>
        <w:rPr>
          <w:sz w:val="22"/>
          <w:szCs w:val="2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445" cy="4445"/>
                <wp:effectExtent l="0" t="0" r="0" b="0"/>
                <wp:docPr id="2" name="_x005F_x0000_i1027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_x005F_x0000_i1027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4445" cy="44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0.35pt;height:0.3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right="-18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Срок предоставления гарантии качества предоставление гарантии производителя и поставщика вместе с товаром. Срок действия гарантии качества поставщика должен быть не менее срока действия гарантии производителя, но не менее 12 месяцев. </w:t>
      </w:r>
      <w:r>
        <w:rPr>
          <w:sz w:val="22"/>
          <w:szCs w:val="22"/>
        </w:rPr>
        <w:t xml:space="preserve">Гарантия Поставщика должна включать обеспечение бесплатного послепродажного обслуживания и бесплатного ремонта поставляемого товара. Объем предоставления гарантий качества поставщика - 100 %. Объем предоставления гарантий качества от производителя - 100 %.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Если Поставщик не поставляет Товар своевременно по исполнению Контракта или поставляет не в полном объеме, так что поставка к сроку становится явно невозможной, Заказчик в праве отказаться от исполнения контракта и потребовать возмещения убытков.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Если во время поставки Товара станет очевидным, что поставка не будет выполнена надлежащим образом, Заказчик в</w:t>
      </w:r>
      <w:r>
        <w:rPr>
          <w:sz w:val="22"/>
          <w:szCs w:val="22"/>
        </w:rPr>
        <w:t xml:space="preserve"> праве назначить Поставщику срок для устранения недостатков и в случае невыполнения Поставщиком в назначенный срок этого требования отказаться от Контракта либо поручить замену Товара другому лицу за счет Поставщика, а также потребовать возмещения убытков.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9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2.7. Поставщик несет ответственность за надлежащее качество предоставляемого им Товара, а также за предоставление Товара, обремененного правами третьих лиц.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firstLine="709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2.8. Расходы, связанные с исполнением гарантийных обязательств по настоящему Контракту, несет Поставщик.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numPr>
          <w:ilvl w:val="0"/>
          <w:numId w:val="3"/>
        </w:numPr>
        <w:contextualSpacing/>
        <w:ind w:left="1080" w:hanging="654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eastAsia="Times New Roman"/>
          <w:b/>
          <w:bCs/>
          <w:sz w:val="22"/>
          <w:szCs w:val="22"/>
          <w:lang w:eastAsia="ru-RU"/>
        </w:rPr>
        <w:t xml:space="preserve">ЦЕНА КОНТРАКТА И ПОРЯДОК ОПЛАТЫ</w:t>
      </w:r>
      <w:r>
        <w:rPr>
          <w:rFonts w:ascii="Times New Roman" w:hAnsi="Times New Roman" w:eastAsia="Times New Roman"/>
          <w:b/>
          <w:bCs/>
          <w:sz w:val="22"/>
          <w:szCs w:val="22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</w:p>
    <w:p>
      <w:pPr>
        <w:pStyle w:val="755"/>
        <w:contextualSpacing/>
        <w:ind w:left="1080" w:firstLine="0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eastAsia="Times New Roman"/>
          <w:b/>
          <w:bCs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</w:p>
    <w:p>
      <w:pPr>
        <w:pStyle w:val="667"/>
        <w:ind w:firstLine="708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3.1. Цена Контракта составляет ____________</w:t>
      </w:r>
      <w:r>
        <w:rPr>
          <w:b/>
          <w:bCs/>
          <w:sz w:val="22"/>
          <w:szCs w:val="22"/>
        </w:rPr>
        <w:t xml:space="preserve"> (_____________________) рубль 00 копеек</w:t>
      </w:r>
      <w:r>
        <w:rPr>
          <w:sz w:val="22"/>
          <w:szCs w:val="22"/>
        </w:rPr>
        <w:t xml:space="preserve">, в том числе НДС ________ (без НДС).</w:t>
      </w:r>
      <w:r>
        <w:rPr>
          <w:bCs/>
          <w:sz w:val="22"/>
          <w:szCs w:val="22"/>
        </w:rPr>
      </w:r>
      <w:r>
        <w:rPr>
          <w:bCs/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Источник финансирования: областной бюджет. Расчеты по Контракту осуществляются в Российских рублях.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Цена Контракта является твердой на весь период действия настоящего Контракта и не может изменяться в ходе его исполнения, за исключением случаев, предусмотренных п.6.1.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Цена Контракта указана </w:t>
      </w:r>
      <w:r>
        <w:rPr>
          <w:sz w:val="22"/>
          <w:szCs w:val="22"/>
        </w:rPr>
        <w:t xml:space="preserve">с учетом всех расходов Поставщика, связанных с оказанием Услуг, в том числе уплату пошлин, сборов, расходов по оплате стоимости услуг сторонних организаций и третьих лиц и других обязательных платежей, которые необходимо выплатить при исполнении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Заказчик обязуется оплатить поставленный Товар в течение 7</w:t>
      </w:r>
      <w:r>
        <w:rPr>
          <w:sz w:val="22"/>
          <w:szCs w:val="22"/>
          <w:u w:val="single"/>
        </w:rPr>
        <w:t xml:space="preserve"> (семи) рабочих дней</w:t>
      </w:r>
      <w:r>
        <w:rPr>
          <w:sz w:val="22"/>
          <w:szCs w:val="22"/>
        </w:rPr>
        <w:t xml:space="preserve"> с даты подписания Заказчиком универсального передаточного документа (далее – УПД).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Расчеты по Контракту осуществляются на основании оформленного сторонами </w:t>
      </w:r>
      <w:bookmarkStart w:id="0" w:name="_Hlk116304172"/>
      <w:r>
        <w:rPr>
          <w:sz w:val="22"/>
          <w:szCs w:val="22"/>
        </w:rPr>
        <w:t xml:space="preserve">УПД, в безналичном порядке платежными поручениями.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bookmarkEnd w:id="0"/>
      <w:r>
        <w:rPr>
          <w:sz w:val="22"/>
          <w:szCs w:val="22"/>
        </w:rPr>
        <w:t xml:space="preserve">3.6. Обязательство Заказчика по оплате считается исполненным с момента списания денежных средств со счета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bookmarkStart w:id="1" w:name="_Hlk31113348"/>
      <w:r>
        <w:rPr>
          <w:sz w:val="22"/>
          <w:szCs w:val="22"/>
        </w:rPr>
      </w:r>
      <w:bookmarkEnd w:id="1"/>
      <w:r>
        <w:rPr>
          <w:sz w:val="22"/>
          <w:szCs w:val="22"/>
        </w:rPr>
        <w:t xml:space="preserve">3.7. Документы могут быть предоставлены как в электронном виде через систему «СБиС», так и на бумажном носителе.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</w:t>
      </w:r>
      <w:r>
        <w:rPr>
          <w:sz w:val="22"/>
          <w:szCs w:val="22"/>
        </w:rPr>
        <w:t xml:space="preserve">ля предоставления документов в электронном виде необходим квалифицированный сертификат электронной подписи. Для его получения необходимо обратиться к оператору ЭДО, оставив заявку на сайте https://sbis.ru/contacts/ (ООО «Компания «Тензор» (система «СБиС»).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3.7.1. Электронный документооборот осуществляется Сторонами в соответствии с действующим законодательством РФ, в том числе Гражданским кодексом РФ, Налоговым кодексом РФ, Федеральным законом РФ от 06.04.2011 № 63-ФЗ «Об электронной подписи».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3.7.2. Датой получения Стороной Электронного документа/Пакета электронных документов считается дата поступления ей Оператором ЭДО файла Электронного документа/Пакета электронных документов другой Стороной, указанная в подтверждении этого Оператора ЭДО.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3.7.3. Датой приемки оказанных услуг Стороной Электронного документа/Пакета электронных документов считается дата подписания Заказчиком файла Электронного документа/Пакета электронных документов, указанная в подтверждении этого Оператора ЭДО.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3.7.4. В случае необходимости внесения</w:t>
      </w:r>
      <w:r>
        <w:rPr>
          <w:sz w:val="22"/>
          <w:szCs w:val="22"/>
        </w:rPr>
        <w:t xml:space="preserve"> корректировок в направленный посредством ЭДО документ, Сторона, направившая документ, составляет соответствующее информационное письмо и направляет откорректированный документ и информационное письмо другой Стороне в порядке, установленном Оператором ЭДО.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3.7.5. Получение докум</w:t>
      </w:r>
      <w:r>
        <w:rPr>
          <w:sz w:val="22"/>
          <w:szCs w:val="22"/>
        </w:rPr>
        <w:t xml:space="preserve">ентов в электронном виде и подписанных Электронной подписью в порядке, эквивалентно получению документов на бумажном носителе и является необходимым достаточным условием, позволяющим установить, что Электронный документ исходит от Стороны, его направившей.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3.7.6. Одной электронной подписью могут быть подписаны несколько связанных между собой Электронных документов - Пакет электронных документов.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3.7.7. Передача электронных документов осуществляется с соблюдением всех требований законо</w:t>
      </w:r>
      <w:r>
        <w:rPr>
          <w:sz w:val="22"/>
          <w:szCs w:val="22"/>
        </w:rPr>
        <w:t xml:space="preserve">дательства через аккредитованных ФНС РФ операторов электронного документооборота (п. 3.8), документы, подписанные электронной подписью, являются оригиналами, их не нужно распечатывать, а первичные учетные документы можно представлять в ИФНС через Интернет.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contextualSpacing/>
        <w:ind w:left="1068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Times New Roman"/>
          <w:b/>
          <w:bCs/>
          <w:sz w:val="22"/>
          <w:szCs w:val="22"/>
          <w:lang w:eastAsia="ru-RU"/>
        </w:rPr>
        <w:t xml:space="preserve">4. ПРИЕМКА ПОСТАВЛЯЕМОГО ТОВАРА</w:t>
      </w:r>
      <w:r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r>
    </w:p>
    <w:p>
      <w:pPr>
        <w:pStyle w:val="755"/>
        <w:contextualSpacing/>
        <w:ind w:left="1068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eastAsia="Times New Roman"/>
          <w:b/>
          <w:bCs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Приемка Товара будет осуществлена приемочной комиссией или уполномоченным лицом Заказчика.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Приемка Товара по количеству и внешнему виду производится Заказчиком в момент получения Товара от Поставщика. В случае выявления расхождения с данными, указанными в УПД, Заказчик составляет Акт о выявленных недостатках и направляет его Поставщику.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В течение 5 (пяти) рабочих дней Заказчик обязан провер</w:t>
      </w:r>
      <w:r>
        <w:rPr>
          <w:sz w:val="22"/>
          <w:szCs w:val="22"/>
        </w:rPr>
        <w:t xml:space="preserve">ить комплектность и качество Товара. В случае выявления несоответствия качества, комплектности Товара Заказчик составляет уведомление об обнаруженных недостатках и направляет его не позднее 10 (десяти) рабочих дней после обнаружения недостатков Поставщику.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>
        <w:rPr>
          <w:sz w:val="22"/>
          <w:szCs w:val="22"/>
        </w:rPr>
        <w:t xml:space="preserve">обеспечить хранение Товара ненадлежащего качества или некомплектного Товара в условиях, предотвращающих ухудшение его качества. Поставщик обязан принять участие в проверке качества Товара. По итогам проверки качества Сторонами подписывается Акт о выявленны</w:t>
      </w:r>
      <w:r>
        <w:rPr>
          <w:sz w:val="22"/>
          <w:szCs w:val="22"/>
        </w:rPr>
        <w:t xml:space="preserve">х недостатках. Уклонение представителя Поставщика от составления Акта дает право Заказчику составить Акт о выявленных недостатках Товара в одностороннем порядке. В случае несогласия Поставщика с заявленными Заказчиком требованиями о не качественности Товар</w:t>
      </w:r>
      <w:r>
        <w:rPr>
          <w:sz w:val="22"/>
          <w:szCs w:val="22"/>
        </w:rPr>
        <w:t xml:space="preserve">а Стороны составляют Акт о направлении Товара на проведение независимой экспертизы. В указанных случаях расходы на экспертизу несет сторона, потребовавшая назначения экспертизы, а если она назначена по соглашению между сторонами, тогда обе стороны поровну.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Замена некомплектного, некачественного или недостающего Товара осуществляется Поставщиком в течение 10 (десяти) рабочих дней с даты подписания Акта о выявленных недостатках.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Поставщик обязан передать Заказчику следующие документы на поставку Товара, оформленные в соответствии с ч.1, ч.2 ст.9 Федерального закона от 06.12.2011 № 402-ФЗ «О бухгалтерском учете»: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УПД.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.6. При отсутствии претензий к Товару обе стороны подписывают УПД не позднее 1 (одного) рабочего дня, следующего за сроком, указанным в п.4.3 Контракта. Подписанный документ о приемке является подтверждением факта проведения экспертизы со стороны Заказчика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4.7. Риск случайной гибели или случайного повреждения Товара до его приемки Заказчиком несет Поставщик.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4.8. При просрочке передачи или приемки Товара риски гибели или случайного повреждения Товара, а также поставки Товара несет сторона, допустившая просрочку.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left="0" w:right="0" w:firstLine="709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4.9. </w:t>
      </w:r>
      <w:bookmarkStart w:id="2" w:name="_Hlk144296188"/>
      <w:r>
        <w:rPr>
          <w:sz w:val="22"/>
          <w:szCs w:val="22"/>
        </w:rPr>
        <w:t xml:space="preserve">Контактное лицо со стороны Заказчика – Лапочкин Андрей Алексеевич, телефон </w:t>
      </w:r>
      <w:r>
        <w:rPr>
          <w:sz w:val="22"/>
          <w:szCs w:val="22"/>
        </w:rPr>
        <w:br w:type="textWrapping" w:clear="all"/>
      </w:r>
      <w:r>
        <w:rPr>
          <w:sz w:val="22"/>
          <w:szCs w:val="22"/>
        </w:rPr>
        <w:t xml:space="preserve">8-915-796-79-93.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left="0" w:right="0" w:firstLine="709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</w:r>
      <w:bookmarkStart w:id="3" w:name="_Hlk31113348_Копия_1"/>
      <w:r>
        <w:rPr>
          <w:sz w:val="22"/>
          <w:szCs w:val="22"/>
        </w:rPr>
      </w:r>
      <w:bookmarkEnd w:id="3"/>
      <w:r>
        <w:rPr>
          <w:sz w:val="22"/>
          <w:szCs w:val="22"/>
        </w:rPr>
        <w:t xml:space="preserve">Уполномоченное лицо со стороны Заказчика – начальник отдела информатизации и технической поддержки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Лапочкин Андрей Алексеевич </w:t>
      </w:r>
      <w:r>
        <w:rPr>
          <w:sz w:val="21"/>
          <w:szCs w:val="21"/>
        </w:rPr>
        <w:t xml:space="preserve">телефон 8 (4922) 377-355 (доб. 208)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6"/>
        <w:ind w:firstLine="709"/>
        <w:jc w:val="both"/>
        <w:widowControl w:val="off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numPr>
          <w:ilvl w:val="0"/>
          <w:numId w:val="4"/>
        </w:numPr>
        <w:ind w:left="0" w:firstLine="1112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ОТВЕТСТВЕННОСТЬ СТОРОН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ind w:left="1112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За неисполнение или ненадлежащее исполнение своих обязательств, установленных настоящим Контрактом, Стороны несут ответственность в соответствии с законодательством Российской Федерации и условиями настоящего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Ответственность Поставщика: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5.2.1. В случае просрочки исполнения Поставщиком обязательств по Контракту, Заказчик направляет Поставщику требование об уплате пени в </w:t>
      </w:r>
      <w:r>
        <w:rPr>
          <w:sz w:val="22"/>
          <w:szCs w:val="22"/>
        </w:rPr>
        <w:t xml:space="preserve">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5.2.2. В соответствии с ч. 6 ст.34 Федерального закона № 44-ФЗ в случае просрочки исполнения Поставщиком обяза</w:t>
      </w:r>
      <w:r>
        <w:rPr>
          <w:sz w:val="22"/>
          <w:szCs w:val="22"/>
        </w:rPr>
        <w:t xml:space="preserve">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штрафа.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left="0" w:righ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Размер штрафа устанавливается Контрактом</w:t>
      </w:r>
      <w:r>
        <w:rPr>
          <w:sz w:val="22"/>
          <w:szCs w:val="22"/>
        </w:rPr>
        <w:t xml:space="preserve"> в соответствии с Постановлением Правительства Российской Федерации от 03.08.2017 № 1042, в том числе рассчитываемой как процент цены Контракта, или в случае, если контрактом предусмотрены этапы исполнения Контракта, как процент этапа исполнения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numPr>
          <w:ilvl w:val="0"/>
          <w:numId w:val="1"/>
        </w:numPr>
        <w:contextualSpacing/>
        <w:ind w:left="0" w:firstLine="982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eastAsia="Times New Roman"/>
          <w:b/>
          <w:bCs/>
          <w:sz w:val="22"/>
          <w:szCs w:val="22"/>
          <w:lang w:eastAsia="ru-RU"/>
        </w:rPr>
        <w:t xml:space="preserve">ИЗМЕНЕНИЕ И РАСТОРЖЕНИЕ КОНТРАКТА</w:t>
      </w:r>
      <w:r>
        <w:rPr>
          <w:rFonts w:ascii="Times New Roman" w:hAnsi="Times New Roman" w:eastAsia="Times New Roman"/>
          <w:b/>
          <w:bCs/>
          <w:sz w:val="22"/>
          <w:szCs w:val="22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</w:p>
    <w:p>
      <w:pPr>
        <w:pStyle w:val="755"/>
        <w:contextualSpacing/>
        <w:ind w:left="982" w:firstLine="0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eastAsia="Times New Roman"/>
          <w:b/>
          <w:bCs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Изменение существенных условий Контракта не допускается, за исключением внесения изменений по соглашению сторон в разрешённых действующим законодательством случаях: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а) при снижении цены Контракта без изменения предусмотренных Контрактом количества и качества объема услуг;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б) если по предложению Заказчика увеличиваются или уменьшаются пр</w:t>
      </w:r>
      <w:r>
        <w:rPr>
          <w:sz w:val="22"/>
          <w:szCs w:val="22"/>
        </w:rPr>
        <w:t xml:space="preserve">едусмотренные Контрактом объемы оказываемых услуг не более чем на 10 % (десять процентов).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</w:t>
      </w:r>
      <w:r>
        <w:rPr>
          <w:sz w:val="22"/>
          <w:szCs w:val="22"/>
        </w:rPr>
        <w:t xml:space="preserve">у объему оказываемых услуг исходя из установленной в Контракте цены, но не более чем на 10 % (десять процентов). При уменьшении предусмотренных Контрактом объемов оказываемых услуг Стороны обязаны уменьшить цену Контракта, исходя из цены оказываемых услуг.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6.1.1. Все изменения и дополнения к настоящему Контракту оформляются дополнительными соглашениями, подписываемыми Сторонами Контракта. Дополнительные соглашения к Контракту являются его неотъемлемой частью и вступают в силу с момента заключения Сторонами.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Контракт может быть расторгнут по соглашению сторон, по решению суда или в случае одностороннего отказа стороны Контракта от его исполнения в соответствии с гражданским законодательством.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Заказчи</w:t>
      </w:r>
      <w:r>
        <w:rPr>
          <w:sz w:val="22"/>
          <w:szCs w:val="22"/>
        </w:rPr>
        <w:t xml:space="preserve">к вправе принять решение об одностороннем отказе от исполнения Контракта по основаниям, предусмотренным Гражданским кодексом Российской Федерации, в случае существенных нарушений условий Контракта Поставщиком в части срока обеспечения Товаром, а также треб</w:t>
      </w:r>
      <w:r>
        <w:rPr>
          <w:sz w:val="22"/>
          <w:szCs w:val="22"/>
        </w:rPr>
        <w:t xml:space="preserve">ований к качеству Товара (обнаружения неустранимых недостатков, недостатков, которые не могут быть устранены без 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6.4. Заказчик вправе провести экспертизу Товара с привлечением экспер</w:t>
      </w:r>
      <w:r>
        <w:rPr>
          <w:sz w:val="22"/>
          <w:szCs w:val="22"/>
        </w:rPr>
        <w:t xml:space="preserve">тов, экспертных организаций до принятия решения об одностороннем отказе от исполнения Контракта в соответствии с действующим законодательством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6.5. Если Заказчиком проведена экспертиза Товара с привлечением экспертов, экспертных организаций, решение об одностороннем отказе от исполнения Контракта может бы</w:t>
      </w:r>
      <w:r>
        <w:rPr>
          <w:sz w:val="22"/>
          <w:szCs w:val="22"/>
        </w:rPr>
        <w:t xml:space="preserve">ть принято Заказчиком только при условии, что по результатам экспертизы Товара в заключении эксперта, экспертной организации будут подтверждены нарушения условий Контракта, послужившие основанием для одностороннего отказа Заказчика от исполнения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Решение Заказчика об одностороннем отказе от исполнения Контракта, в случае существенного нарушения Поставщиком условий Контракта, направляет</w:t>
      </w:r>
      <w:r>
        <w:rPr>
          <w:sz w:val="22"/>
          <w:szCs w:val="22"/>
        </w:rPr>
        <w:t xml:space="preserve">ся Поставщику по почте заказным письмом с уведомлением о вручении по адресу Поставщика, указанному в Контракте, а также телеграммой, либо посредством факсимильной связи, либо по адресу электронной почты, либо с использованием иных средств связи и доставки,</w:t>
      </w:r>
      <w:r>
        <w:rPr>
          <w:sz w:val="22"/>
          <w:szCs w:val="22"/>
        </w:rPr>
        <w:t xml:space="preserve"> обеспечивающих фиксирование такого уведомления и получение Заказчиком подтверждения о его вручении Поставщику. Выполнение Заказчиком требований настоящего пункта считается надлежащим уведомлением Поставщика об одностороннем отказе от исполнения Контракта.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6.7. Датой такого надлежащего уведомления признается дата получения Заказчиком подтверждения о вручении Поставщика указанного уведомления.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55"/>
        <w:numPr>
          <w:ilvl w:val="0"/>
          <w:numId w:val="1"/>
        </w:numPr>
        <w:contextualSpacing/>
        <w:ind w:left="0" w:firstLine="709"/>
        <w:jc w:val="center"/>
        <w:spacing w:before="0" w:after="0" w:line="240" w:lineRule="auto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ОБСТОЯТЕЛЬСТВА НЕПРЕОДОЛИМОЙ СИЛЫ</w:t>
      </w:r>
      <w:r>
        <w:rPr>
          <w:rFonts w:ascii="Times New Roman" w:hAnsi="Times New Roman"/>
          <w:b/>
          <w:color w:val="000000"/>
          <w:sz w:val="22"/>
          <w:szCs w:val="22"/>
        </w:rPr>
      </w: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755"/>
        <w:contextualSpacing/>
        <w:ind w:left="709" w:firstLine="0"/>
        <w:jc w:val="center"/>
        <w:spacing w:before="0" w:after="0" w:line="24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  <w:highlight w:val="none"/>
        </w:rPr>
      </w:r>
      <w:r>
        <w:rPr>
          <w:rFonts w:ascii="Times New Roman" w:hAnsi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/>
          <w:b/>
          <w:bCs/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7.1. Стороны освобождаются от ответственности за частичное или полное неисполнение обязательств по настоящему Контракту в случае, е</w:t>
      </w:r>
      <w:r>
        <w:rPr>
          <w:color w:val="000000"/>
          <w:sz w:val="22"/>
          <w:szCs w:val="22"/>
        </w:rPr>
        <w:t xml:space="preserve">сли оно явилось следствием действия обстоятельств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пожара и т.д.), действий объективных внешних факторов </w:t>
      </w:r>
      <w:r>
        <w:rPr>
          <w:color w:val="000000"/>
          <w:sz w:val="22"/>
          <w:szCs w:val="22"/>
        </w:rPr>
        <w:t xml:space="preserve">(военные действия, акты органов государственной власти и управления и т.п.), а также других чрезвычайных обстоятельств, подтвержденных в установленном законодательством порядке, препятствующих надлежащему исполнению обязательств по настоящему Контракту, ко</w:t>
      </w:r>
      <w:r>
        <w:rPr>
          <w:color w:val="000000"/>
          <w:sz w:val="22"/>
          <w:szCs w:val="22"/>
        </w:rPr>
        <w:t xml:space="preserve">торые возникли после заключения настоящего Контракта, на время действия этих обстоятельств, если эти обстоятельства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7.2. Сторона, для которой надлежащее исполнение обязательств оказалось невозможным вследствие возникновения о</w:t>
      </w:r>
      <w:r>
        <w:rPr>
          <w:color w:val="000000"/>
          <w:sz w:val="22"/>
          <w:szCs w:val="22"/>
        </w:rPr>
        <w:t xml:space="preserve">бстоятельств непреодолимой силы, обязана в течение 3 (трех) рабочих 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 обстоятельств непреодолимой силы.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7.3. Если, по мнению Сторон, оказание услуг может быть продолжено в порядке, д</w:t>
      </w:r>
      <w:r>
        <w:rPr>
          <w:color w:val="000000"/>
          <w:sz w:val="22"/>
          <w:szCs w:val="22"/>
        </w:rPr>
        <w:t xml:space="preserve">ействовавшем согласно настоящему Контракту до начала действия обстоятельств непреодолимой силы, то срок исполнения обязательств по Контракту продлевается соразмерно времени, в течение которого действовали обстоятельства непреодолимой силы и их последствия.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  <w:highlight w:val="none"/>
        </w:rPr>
      </w:r>
    </w:p>
    <w:p>
      <w:pPr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755"/>
        <w:numPr>
          <w:ilvl w:val="0"/>
          <w:numId w:val="1"/>
        </w:numPr>
        <w:contextualSpacing/>
        <w:ind w:left="0" w:firstLine="557"/>
        <w:jc w:val="center"/>
        <w:spacing w:before="0" w:after="0" w:line="240" w:lineRule="auto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 xml:space="preserve">ПОРЯДОК УРЕГУЛИРОВАНИЯ СПОРОВ</w:t>
      </w:r>
      <w:r>
        <w:rPr>
          <w:rFonts w:ascii="Times New Roman" w:hAnsi="Times New Roman"/>
          <w:b/>
          <w:color w:val="000000"/>
          <w:sz w:val="22"/>
          <w:szCs w:val="22"/>
        </w:rPr>
      </w:r>
      <w:r>
        <w:rPr>
          <w:rFonts w:ascii="Times New Roman" w:hAnsi="Times New Roman"/>
          <w:b/>
          <w:color w:val="000000"/>
          <w:sz w:val="22"/>
          <w:szCs w:val="22"/>
        </w:rPr>
      </w:r>
    </w:p>
    <w:p>
      <w:pPr>
        <w:pStyle w:val="755"/>
        <w:contextualSpacing/>
        <w:ind w:left="557" w:firstLine="0"/>
        <w:jc w:val="center"/>
        <w:spacing w:before="0" w:after="0" w:line="24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  <w:highlight w:val="none"/>
        </w:rPr>
      </w:r>
      <w:r>
        <w:rPr>
          <w:rFonts w:ascii="Times New Roman" w:hAnsi="Times New Roman"/>
          <w:b/>
          <w:bCs/>
          <w:color w:val="000000"/>
          <w:sz w:val="22"/>
          <w:szCs w:val="22"/>
        </w:rPr>
      </w:r>
      <w:r>
        <w:rPr>
          <w:rFonts w:ascii="Times New Roman" w:hAnsi="Times New Roman"/>
          <w:b/>
          <w:bCs/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8.1. В случае возникновения любых противоречий, претензий и разногласий, а также споров, связанных с исполнением настоящего Контракта, Стороны предпринимают усилия для урегулирования таких противоречий, претензий и разногласий путем переговоров.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8.2. Все достигнутые договоренности Стороны оформляют в виде дополнительных соглашений, подписанных Сторонами и скрепленных печатями.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8.3. До передачи спора на разрешение Арбитражного суда Владимирской области Стороны примут меры к его урегулированию в претензионном порядке.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8.4. Претензия должна быть </w:t>
      </w:r>
      <w:r>
        <w:rPr>
          <w:color w:val="000000"/>
          <w:sz w:val="22"/>
          <w:szCs w:val="22"/>
        </w:rPr>
        <w:t xml:space="preserve">направлена в письменном виде. По полученной претензии Сторона должна дать письменный ответ, по существу, в срок не позднее 7 календарных дней с даты ее получения. Оставление претензии без ответа в установленный срок означает признание требований претензии.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8.5. В случае невыполнения Сторонами своих обязательств и не достижения взаимного согласия споры по настоящему Контракту разрешаются в Арбитражном суде Владимирской области.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jc w:val="center"/>
        <w:rPr>
          <w:rFonts w:eastAsia="Calibri"/>
          <w:b/>
          <w:bCs/>
          <w:color w:val="000000"/>
          <w:sz w:val="22"/>
          <w:szCs w:val="22"/>
          <w:highlight w:val="none"/>
        </w:rPr>
      </w:pPr>
      <w:r>
        <w:rPr>
          <w:rFonts w:eastAsia="Calibri"/>
          <w:b/>
          <w:bCs/>
          <w:color w:val="000000"/>
          <w:sz w:val="22"/>
          <w:szCs w:val="22"/>
        </w:rPr>
        <w:t xml:space="preserve">9. АНТИКОРРУПЦИОННАЯ ОГОВОРКА</w:t>
      </w:r>
      <w:r>
        <w:rPr>
          <w:rFonts w:eastAsia="Calibri"/>
          <w:b/>
          <w:bCs/>
          <w:color w:val="000000"/>
          <w:sz w:val="22"/>
          <w:szCs w:val="22"/>
          <w:highlight w:val="none"/>
        </w:rPr>
      </w:r>
      <w:r>
        <w:rPr>
          <w:rFonts w:eastAsia="Calibri"/>
          <w:b/>
          <w:bCs/>
          <w:color w:val="000000"/>
          <w:sz w:val="22"/>
          <w:szCs w:val="22"/>
          <w:highlight w:val="none"/>
        </w:rPr>
      </w:r>
    </w:p>
    <w:p>
      <w:pPr>
        <w:jc w:val="center"/>
        <w:rPr>
          <w:rFonts w:eastAsia="Calibri"/>
          <w:b/>
          <w:bCs/>
          <w:color w:val="000000"/>
          <w:sz w:val="22"/>
          <w:szCs w:val="22"/>
          <w:highlight w:val="none"/>
        </w:rPr>
      </w:pPr>
      <w:r>
        <w:rPr>
          <w:rFonts w:eastAsia="Calibri"/>
          <w:b/>
          <w:bCs/>
          <w:color w:val="000000"/>
          <w:sz w:val="22"/>
          <w:szCs w:val="22"/>
          <w:highlight w:val="none"/>
        </w:rPr>
      </w:r>
      <w:r>
        <w:rPr>
          <w:rFonts w:eastAsia="Calibri"/>
          <w:b/>
          <w:bCs/>
          <w:color w:val="000000"/>
          <w:sz w:val="22"/>
          <w:szCs w:val="22"/>
          <w:highlight w:val="none"/>
        </w:rPr>
      </w:r>
      <w:r>
        <w:rPr>
          <w:rFonts w:eastAsia="Calibri"/>
          <w:b/>
          <w:bCs/>
          <w:color w:val="000000"/>
          <w:sz w:val="22"/>
          <w:szCs w:val="22"/>
          <w:highlight w:val="none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9.1. Стороны Контракта, их аффилированные (взаимосвязанные) лица, работники и посредники, не вправе ни пря</w:t>
      </w:r>
      <w:r>
        <w:rPr>
          <w:color w:val="000000"/>
          <w:sz w:val="22"/>
          <w:szCs w:val="22"/>
        </w:rPr>
        <w:t xml:space="preserve">мо,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Контракту или получения иных не правомерных преимуществ в связи с его исполнением.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9.2. Для исполнения Контракта не допускается осуществлять действия, квалифицируемые как дача (получение) взятки, коммерческий подкуп, злоупотребление должностным положением, а также действия, на</w:t>
      </w:r>
      <w:r>
        <w:rPr>
          <w:color w:val="000000"/>
          <w:sz w:val="22"/>
          <w:szCs w:val="22"/>
        </w:rPr>
        <w:t xml:space="preserve">рушающие требования законодательства о противодействии легализации (отмыванию) доходов, полученных преступным путем и иные коррупционные нарушения как в отношениях между сторонами Контракта так и в отношениях с третьими лицами и государственными органами.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67"/>
        <w:ind w:left="0" w:right="0"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9.3. В случае возникновения у </w:t>
      </w:r>
      <w:r>
        <w:rPr>
          <w:color w:val="000000"/>
          <w:sz w:val="22"/>
          <w:szCs w:val="22"/>
        </w:rPr>
        <w:t xml:space="preserve">сторон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</w:r>
      <w:r>
        <w:rPr>
          <w:rFonts w:eastAsia="Calibri"/>
          <w:color w:val="000000"/>
          <w:sz w:val="22"/>
          <w:szCs w:val="22"/>
        </w:rPr>
      </w:r>
      <w:r>
        <w:rPr>
          <w:rFonts w:eastAsia="Calibri"/>
          <w:color w:val="000000"/>
          <w:sz w:val="22"/>
          <w:szCs w:val="22"/>
        </w:rPr>
      </w:r>
    </w:p>
    <w:p>
      <w:pPr>
        <w:pStyle w:val="755"/>
        <w:contextualSpacing/>
        <w:ind w:left="1428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eastAsia="Times New Roman"/>
          <w:b/>
          <w:bCs/>
          <w:sz w:val="22"/>
          <w:szCs w:val="22"/>
          <w:lang w:eastAsia="ru-RU"/>
        </w:rPr>
        <w:t xml:space="preserve">10. ЗАКЛЮЧИТЕЛЬНЫЕ ПОЛОЖЕНИЯ</w:t>
      </w:r>
      <w:r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eastAsia="Times New Roman"/>
          <w:b/>
          <w:bCs/>
          <w:sz w:val="22"/>
          <w:szCs w:val="22"/>
          <w:highlight w:val="none"/>
        </w:rPr>
      </w:r>
    </w:p>
    <w:p>
      <w:pPr>
        <w:pStyle w:val="755"/>
        <w:contextualSpacing/>
        <w:ind w:left="1428"/>
        <w:jc w:val="center"/>
        <w:spacing w:before="0" w:after="0" w:line="240" w:lineRule="auto"/>
        <w:rPr>
          <w:rFonts w:ascii="Times New Roman" w:hAnsi="Times New Roman" w:eastAsia="Times New Roman"/>
          <w:b/>
          <w:bCs/>
          <w:sz w:val="22"/>
          <w:szCs w:val="22"/>
        </w:rPr>
      </w:pPr>
      <w:r>
        <w:rPr>
          <w:rFonts w:ascii="Times New Roman" w:hAnsi="Times New Roman" w:eastAsia="Times New Roman"/>
          <w:b/>
          <w:bCs/>
          <w:sz w:val="22"/>
          <w:szCs w:val="22"/>
          <w:highlight w:val="none"/>
          <w:lang w:eastAsia="ru-RU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  <w:r>
        <w:rPr>
          <w:rFonts w:ascii="Times New Roman" w:hAnsi="Times New Roman" w:eastAsia="Times New Roman"/>
          <w:b/>
          <w:bCs/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10.1. Контракт вступает в силу и становится обязательным для сторон с момента его подписания и действует до 31.12.2026 г., в части финансовых обязательств – до полного исполнения.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10.2. Стороны обязаны извещать друг друга об изменении своего юридического адреса и реквизитов не позднее 1 (одного) рабочих дня со дня изменения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10.3. Перечень приложений к Контракту: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Приложение № 1 «Спецификация»;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jc w:val="both"/>
        <w:rPr>
          <w:sz w:val="22"/>
          <w:szCs w:val="22"/>
          <w:highlight w:val="none"/>
        </w:rPr>
      </w:pPr>
      <w:r>
        <w:rPr>
          <w:sz w:val="22"/>
          <w:szCs w:val="22"/>
        </w:rPr>
        <w:t xml:space="preserve">- Приложение № 2 «Техническое задание».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66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ind w:firstLine="708"/>
        <w:jc w:val="center"/>
        <w:rPr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10. АДРЕСА И РЕКВИЗИТЫ СТОРОН</w:t>
      </w:r>
      <w:bookmarkEnd w:id="2"/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firstLine="708"/>
        <w:jc w:val="center"/>
        <w:rPr>
          <w:b/>
          <w:bCs/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5000" w:type="pct"/>
        <w:tblInd w:w="-151" w:type="dxa"/>
        <w:tblLayout w:type="fixed"/>
        <w:tblCellMar>
          <w:left w:w="108" w:type="dxa"/>
          <w:top w:w="55" w:type="dxa"/>
          <w:right w:w="108" w:type="dxa"/>
          <w:bottom w:w="55" w:type="dxa"/>
        </w:tblCellMar>
        <w:tblLook w:val="00A0" w:firstRow="1" w:lastRow="0" w:firstColumn="1" w:lastColumn="0" w:noHBand="0" w:noVBand="0"/>
      </w:tblPr>
      <w:tblGrid>
        <w:gridCol w:w="5154"/>
        <w:gridCol w:w="489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154" w:type="dxa"/>
            <w:textDirection w:val="lrTb"/>
            <w:noWrap w:val="false"/>
          </w:tcPr>
          <w:p>
            <w:pPr>
              <w:pStyle w:val="66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2" w:type="dxa"/>
            <w:textDirection w:val="lrTb"/>
            <w:noWrap w:val="false"/>
          </w:tcPr>
          <w:p>
            <w:pPr>
              <w:pStyle w:val="6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Поставщик: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5154" w:type="dxa"/>
            <w:textDirection w:val="lrTb"/>
            <w:noWrap w:val="false"/>
          </w:tcPr>
          <w:p>
            <w:pPr>
              <w:pStyle w:val="667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ГКУ ВО «ЦБДД ВО»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600006, г. Владимир, ул. Вокзальная, д.1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нахождения: г. Владимир,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Вокзальная, д.1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Телефон:(4922)377-355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bdd33@yandex.ru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ОГРН:1183328014792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ИНН:3329094872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КПП:332901001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ОКПО: 34549571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Р/с: 03221643170000002800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Л/с: 03282J40880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ОКЦ № 1 ВВГУ Банка России // УФК по Владимирской области, г. Владимир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ЕКС: 40102810645370000111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БИК: 042202111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2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</w:tcBorders>
            <w:tcW w:w="5154" w:type="dxa"/>
            <w:textDirection w:val="lrTb"/>
            <w:noWrap w:val="false"/>
          </w:tcPr>
          <w:p>
            <w:pPr>
              <w:pStyle w:val="757"/>
              <w:jc w:val="left"/>
              <w:spacing w:before="0" w:after="0" w:line="240" w:lineRule="auto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Директор ГКУ ВО «ЦБДД ВО»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57"/>
              <w:jc w:val="left"/>
              <w:spacing w:before="0"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7"/>
              <w:jc w:val="left"/>
              <w:spacing w:before="0"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57"/>
              <w:jc w:val="left"/>
              <w:spacing w:before="0"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______________________/Булатов Е.О./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92" w:type="dxa"/>
            <w:textDirection w:val="lrTb"/>
            <w:noWrap w:val="false"/>
          </w:tcPr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__________________________________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___________________/____________________/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shd w:val="nil" w:color="000000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</w:p>
    <w:p>
      <w:pPr>
        <w:shd w:val="nil" w:color="000000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</w:p>
    <w:p>
      <w:pPr>
        <w:jc w:val="left"/>
        <w:rPr>
          <w:bCs/>
          <w:i/>
          <w:sz w:val="22"/>
          <w:szCs w:val="22"/>
        </w:rPr>
      </w:pPr>
      <w:r>
        <w:rPr>
          <w:bCs/>
          <w:i/>
          <w:iCs/>
          <w:sz w:val="22"/>
          <w:szCs w:val="22"/>
          <w:highlight w:val="none"/>
        </w:rPr>
      </w:r>
      <w:r>
        <w:rPr>
          <w:bCs/>
          <w:i/>
          <w:iCs/>
          <w:sz w:val="22"/>
          <w:szCs w:val="22"/>
          <w:highlight w:val="none"/>
        </w:rPr>
      </w:r>
    </w:p>
    <w:p>
      <w:pPr>
        <w:jc w:val="left"/>
        <w:rPr>
          <w:bCs/>
          <w:i/>
          <w:sz w:val="22"/>
          <w:szCs w:val="22"/>
          <w:highlight w:val="none"/>
        </w:rPr>
      </w:pPr>
      <w:r>
        <w:rPr>
          <w:bCs/>
          <w:i/>
          <w:iCs/>
          <w:sz w:val="22"/>
          <w:szCs w:val="22"/>
          <w:highlight w:val="none"/>
        </w:rPr>
      </w:r>
      <w:r>
        <w:rPr>
          <w:bCs/>
          <w:i/>
          <w:iCs/>
          <w:sz w:val="22"/>
          <w:szCs w:val="22"/>
          <w:highlight w:val="none"/>
        </w:rPr>
      </w:r>
    </w:p>
    <w:p>
      <w:pPr>
        <w:jc w:val="left"/>
        <w:rPr>
          <w:bCs/>
          <w:i/>
          <w:sz w:val="22"/>
          <w:szCs w:val="22"/>
          <w:highlight w:val="none"/>
        </w:rPr>
      </w:pPr>
      <w:r>
        <w:rPr>
          <w:bCs/>
          <w:i/>
          <w:iCs/>
          <w:sz w:val="22"/>
          <w:szCs w:val="22"/>
          <w:highlight w:val="none"/>
        </w:rPr>
      </w:r>
      <w:r>
        <w:rPr>
          <w:bCs/>
          <w:i/>
          <w:iCs/>
          <w:sz w:val="22"/>
          <w:szCs w:val="22"/>
          <w:highlight w:val="none"/>
        </w:rPr>
      </w:r>
    </w:p>
    <w:p>
      <w:pPr>
        <w:pStyle w:val="667"/>
        <w:jc w:val="right"/>
        <w:rPr>
          <w:i/>
          <w:iCs/>
          <w:sz w:val="22"/>
          <w:szCs w:val="22"/>
          <w:highlight w:val="none"/>
        </w:rPr>
      </w:pPr>
      <w:r>
        <w:rPr>
          <w:bCs/>
          <w:i/>
          <w:iCs/>
          <w:sz w:val="22"/>
          <w:szCs w:val="22"/>
        </w:rPr>
        <w:t xml:space="preserve">Приложение № 1</w:t>
      </w:r>
      <w:r>
        <w:rPr>
          <w:bCs/>
          <w:i/>
          <w:iCs/>
          <w:sz w:val="22"/>
          <w:szCs w:val="22"/>
        </w:rPr>
      </w:r>
      <w:r>
        <w:rPr>
          <w:i/>
          <w:iCs/>
          <w:sz w:val="22"/>
          <w:szCs w:val="22"/>
          <w:highlight w:val="none"/>
        </w:rPr>
      </w:r>
    </w:p>
    <w:p>
      <w:pPr>
        <w:pStyle w:val="667"/>
        <w:jc w:val="right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 xml:space="preserve"> </w:t>
      </w:r>
      <w:r>
        <w:rPr>
          <w:bCs/>
          <w:i/>
          <w:iCs/>
          <w:sz w:val="22"/>
          <w:szCs w:val="22"/>
        </w:rPr>
        <w:t xml:space="preserve">к Контракту № ____</w:t>
      </w:r>
      <w:r>
        <w:rPr>
          <w:bCs/>
          <w:i/>
          <w:iCs/>
          <w:sz w:val="22"/>
          <w:szCs w:val="22"/>
        </w:rPr>
        <w:t xml:space="preserve">/26 от «___» ____________ 2026 г.</w:t>
      </w:r>
      <w:r>
        <w:rPr>
          <w:bCs/>
          <w:i/>
          <w:iCs/>
          <w:sz w:val="22"/>
          <w:szCs w:val="22"/>
        </w:rPr>
      </w:r>
      <w:r>
        <w:rPr>
          <w:bCs/>
          <w:i/>
          <w:iCs/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67"/>
        <w:jc w:val="center"/>
        <w:tabs>
          <w:tab w:val="clear" w:pos="708" w:leader="none"/>
          <w:tab w:val="left" w:pos="916" w:leader="none"/>
          <w:tab w:val="left" w:pos="1832" w:leader="none"/>
          <w:tab w:val="left" w:pos="2748" w:leader="none"/>
          <w:tab w:val="left" w:pos="2913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  <w:t xml:space="preserve">Спецификация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jc w:val="center"/>
        <w:tabs>
          <w:tab w:val="clear" w:pos="708" w:leader="none"/>
          <w:tab w:val="left" w:pos="916" w:leader="none"/>
          <w:tab w:val="left" w:pos="1832" w:leader="none"/>
          <w:tab w:val="left" w:pos="2748" w:leader="none"/>
          <w:tab w:val="left" w:pos="2913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67"/>
        <w:tabs>
          <w:tab w:val="clear" w:pos="708" w:leader="none"/>
          <w:tab w:val="left" w:pos="916" w:leader="none"/>
          <w:tab w:val="left" w:pos="1832" w:leader="none"/>
          <w:tab w:val="left" w:pos="2748" w:leader="none"/>
          <w:tab w:val="left" w:pos="2913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10541" w:type="dxa"/>
        <w:jc w:val="center"/>
        <w:tblInd w:w="-109" w:type="dxa"/>
        <w:tblLayout w:type="fixed"/>
        <w:tblCellMar>
          <w:left w:w="82" w:type="dxa"/>
          <w:top w:w="57" w:type="dxa"/>
          <w:right w:w="98" w:type="dxa"/>
          <w:bottom w:w="57" w:type="dxa"/>
        </w:tblCellMar>
        <w:tblLook w:val="04A0" w:firstRow="1" w:lastRow="0" w:firstColumn="1" w:lastColumn="0" w:noHBand="0" w:noVBand="1"/>
      </w:tblPr>
      <w:tblGrid>
        <w:gridCol w:w="533"/>
        <w:gridCol w:w="4198"/>
        <w:gridCol w:w="939"/>
        <w:gridCol w:w="1503"/>
        <w:gridCol w:w="1776"/>
        <w:gridCol w:w="1591"/>
      </w:tblGrid>
      <w:tr>
        <w:tblPrEx/>
        <w:trPr>
          <w:trHeight w:val="976"/>
        </w:trPr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533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п\п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198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Товара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939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Кол-во, шт.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1503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  <w:highlight w:val="white"/>
              </w:rPr>
            </w:pPr>
            <w:r>
              <w:rPr>
                <w:b/>
                <w:bCs/>
                <w:sz w:val="22"/>
                <w:szCs w:val="22"/>
                <w:highlight w:val="white"/>
              </w:rPr>
              <w:t xml:space="preserve">Страна происхождения</w:t>
            </w:r>
            <w:r>
              <w:rPr>
                <w:b/>
                <w:bCs/>
                <w:sz w:val="22"/>
                <w:szCs w:val="22"/>
                <w:highlight w:val="white"/>
              </w:rPr>
            </w:r>
            <w:r>
              <w:rPr>
                <w:b/>
                <w:bCs/>
                <w:sz w:val="22"/>
                <w:szCs w:val="22"/>
                <w:highlight w:val="white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1776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Цена с НДС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_____%</w:t>
            </w:r>
            <w:r>
              <w:rPr>
                <w:b/>
                <w:bCs/>
                <w:sz w:val="22"/>
                <w:szCs w:val="22"/>
              </w:rPr>
              <w:t xml:space="preserve">, руб./без НДС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tcW w:w="1591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с НДС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_____%</w:t>
            </w:r>
            <w:r>
              <w:rPr>
                <w:b/>
                <w:bCs/>
                <w:sz w:val="22"/>
                <w:szCs w:val="22"/>
              </w:rPr>
              <w:t xml:space="preserve">,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руб./без НДС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1157"/>
        </w:trPr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533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4198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Планшетный компьютер KVADRA_T TS11.1B2 (или эквивалент) </w:t>
            </w:r>
            <w:r/>
          </w:p>
        </w:tc>
        <w:tc>
          <w:tcPr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tcW w:w="93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03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76" w:type="dxa"/>
            <w:vAlign w:val="center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1" w:type="dxa"/>
            <w:vAlign w:val="center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585"/>
        </w:trPr>
        <w:tc>
          <w:tcPr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7174" w:type="dxa"/>
            <w:vAlign w:val="center"/>
            <w:textDirection w:val="lrTb"/>
            <w:noWrap w:val="false"/>
          </w:tcPr>
          <w:p>
            <w:pPr>
              <w:pStyle w:val="66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  <w:t xml:space="preserve">Итого, </w:t>
            </w:r>
            <w:r>
              <w:rPr>
                <w:b/>
                <w:bCs/>
                <w:sz w:val="22"/>
                <w:szCs w:val="22"/>
              </w:rPr>
              <w:t xml:space="preserve">в т.ч. НДС___%/без НДС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tcW w:w="3367" w:type="dxa"/>
            <w:vAlign w:val="center"/>
            <w:textDirection w:val="lrTb"/>
            <w:noWrap w:val="false"/>
          </w:tcPr>
          <w:p>
            <w:pPr>
              <w:pStyle w:val="66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  <w:t xml:space="preserve">__________ руб. ____ коп.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>
      <w:pPr>
        <w:rPr>
          <w:bCs/>
          <w:i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</w:r>
      <w:r>
        <w:rPr>
          <w:bCs/>
          <w:i/>
          <w:color w:val="000000"/>
          <w:sz w:val="22"/>
          <w:szCs w:val="22"/>
        </w:rPr>
      </w:r>
      <w:r>
        <w:rPr>
          <w:bCs/>
          <w:i/>
          <w:color w:val="000000"/>
          <w:sz w:val="22"/>
          <w:szCs w:val="22"/>
        </w:rPr>
      </w:r>
    </w:p>
    <w:p>
      <w:pPr>
        <w:rPr>
          <w:bCs/>
          <w:i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</w:r>
      <w:r>
        <w:rPr>
          <w:bCs/>
          <w:i/>
          <w:color w:val="000000"/>
          <w:sz w:val="22"/>
          <w:szCs w:val="22"/>
        </w:rPr>
      </w:r>
      <w:r>
        <w:rPr>
          <w:bCs/>
          <w:i/>
          <w:color w:val="000000"/>
          <w:sz w:val="22"/>
          <w:szCs w:val="22"/>
        </w:rPr>
      </w:r>
    </w:p>
    <w:p>
      <w:pPr>
        <w:pStyle w:val="667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</w:r>
      <w:r>
        <w:rPr>
          <w:i/>
          <w:iCs/>
          <w:color w:val="000000"/>
          <w:sz w:val="22"/>
          <w:szCs w:val="22"/>
        </w:rPr>
      </w:r>
      <w:r>
        <w:rPr>
          <w:i/>
          <w:iCs/>
          <w:color w:val="000000"/>
          <w:sz w:val="22"/>
          <w:szCs w:val="22"/>
        </w:rPr>
      </w:r>
    </w:p>
    <w:tbl>
      <w:tblPr>
        <w:tblW w:w="5158" w:type="pct"/>
        <w:tblInd w:w="-15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5223"/>
        <w:gridCol w:w="536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23" w:type="dxa"/>
            <w:textDirection w:val="lrTb"/>
            <w:noWrap w:val="false"/>
          </w:tcPr>
          <w:p>
            <w:pPr>
              <w:pStyle w:val="757"/>
              <w:jc w:val="left"/>
              <w:spacing w:before="0" w:after="0" w:line="240" w:lineRule="auto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57"/>
              <w:jc w:val="left"/>
              <w:spacing w:before="0"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ГКУ ВО «ЦБДД ВО»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 /Булатов Е.О./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64" w:type="dxa"/>
            <w:textDirection w:val="lrTb"/>
            <w:noWrap w:val="false"/>
          </w:tcPr>
          <w:p>
            <w:pPr>
              <w:pStyle w:val="667"/>
              <w:ind w:left="1416" w:hanging="14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Поставщик: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 /_____________________/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jc w:val="right"/>
        <w:rPr>
          <w:rFonts w:eastAsia="Calibri"/>
          <w:bCs/>
          <w:i/>
          <w:sz w:val="22"/>
          <w:szCs w:val="22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left"/>
        <w:rPr>
          <w:rFonts w:eastAsia="Calibri"/>
          <w:bCs/>
          <w:i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jc w:val="right"/>
        <w:rPr>
          <w:rFonts w:eastAsia="Calibri"/>
          <w:bCs/>
          <w:i/>
          <w:sz w:val="22"/>
          <w:szCs w:val="22"/>
          <w:highlight w:val="none"/>
          <w:lang w:eastAsia="en-US"/>
        </w:rPr>
        <w:sectPr>
          <w:footnotePr/>
          <w:endnotePr/>
          <w:type w:val="nextPage"/>
          <w:pgSz w:w="11906" w:h="16838" w:orient="portrait"/>
          <w:pgMar w:top="568" w:right="707" w:bottom="680" w:left="1152" w:header="709" w:footer="709" w:gutter="0"/>
          <w:cols w:num="1" w:sep="0" w:space="1701" w:equalWidth="1"/>
          <w:docGrid w:linePitch="360"/>
        </w:sectPr>
      </w:pP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  <w:r>
        <w:rPr>
          <w:rFonts w:eastAsia="Calibri"/>
          <w:bCs/>
          <w:i/>
          <w:sz w:val="22"/>
          <w:szCs w:val="22"/>
          <w:highlight w:val="none"/>
          <w:lang w:eastAsia="en-US"/>
        </w:rPr>
      </w:r>
    </w:p>
    <w:p>
      <w:pPr>
        <w:pStyle w:val="667"/>
        <w:jc w:val="right"/>
        <w:rPr>
          <w:rFonts w:eastAsia="Calibri"/>
          <w:i/>
          <w:iCs/>
          <w:sz w:val="22"/>
          <w:szCs w:val="22"/>
          <w:highlight w:val="none"/>
          <w:lang w:eastAsia="en-US"/>
        </w:rPr>
      </w:pPr>
      <w:r>
        <w:rPr>
          <w:rFonts w:eastAsia="Calibri"/>
          <w:i/>
          <w:iCs/>
          <w:sz w:val="22"/>
          <w:szCs w:val="22"/>
          <w:lang w:eastAsia="en-US"/>
        </w:rPr>
        <w:t xml:space="preserve">Приложение № 2</w:t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  <w:r>
        <w:rPr>
          <w:rFonts w:eastAsia="Calibri"/>
          <w:i/>
          <w:iCs/>
          <w:sz w:val="22"/>
          <w:szCs w:val="22"/>
          <w:highlight w:val="none"/>
          <w:lang w:eastAsia="en-US"/>
        </w:rPr>
      </w:r>
    </w:p>
    <w:p>
      <w:pPr>
        <w:pStyle w:val="667"/>
        <w:jc w:val="right"/>
        <w:rPr>
          <w:rFonts w:eastAsia="Calibri"/>
          <w:i/>
          <w:iCs/>
          <w:sz w:val="22"/>
          <w:szCs w:val="22"/>
          <w:lang w:eastAsia="en-US"/>
        </w:rPr>
      </w:pPr>
      <w:r>
        <w:rPr>
          <w:rFonts w:eastAsia="Calibri"/>
          <w:i/>
          <w:iCs/>
          <w:sz w:val="22"/>
          <w:szCs w:val="22"/>
          <w:lang w:eastAsia="en-US"/>
        </w:rPr>
        <w:t xml:space="preserve">к Контракту № ____</w:t>
      </w:r>
      <w:r>
        <w:rPr>
          <w:rFonts w:eastAsia="Calibri"/>
          <w:i/>
          <w:iCs/>
          <w:sz w:val="22"/>
          <w:szCs w:val="22"/>
          <w:lang w:eastAsia="en-US"/>
        </w:rPr>
        <w:t xml:space="preserve">/26 от «____» _______________ 2026 г.</w:t>
      </w:r>
      <w:r>
        <w:rPr>
          <w:rFonts w:eastAsia="Calibri"/>
          <w:i/>
          <w:iCs/>
          <w:sz w:val="22"/>
          <w:szCs w:val="22"/>
          <w:lang w:eastAsia="en-US"/>
        </w:rPr>
      </w:r>
      <w:r>
        <w:rPr>
          <w:rFonts w:eastAsia="Calibri"/>
          <w:i/>
          <w:iCs/>
          <w:sz w:val="22"/>
          <w:szCs w:val="22"/>
          <w:lang w:eastAsia="en-US"/>
        </w:rPr>
      </w:r>
    </w:p>
    <w:p>
      <w:pPr>
        <w:jc w:val="center"/>
        <w:rPr>
          <w:rFonts w:eastAsia="Calibri"/>
          <w:bCs/>
          <w:i/>
          <w:sz w:val="22"/>
          <w:szCs w:val="22"/>
          <w:lang w:eastAsia="en-US"/>
        </w:rPr>
      </w:pPr>
      <w:r>
        <w:rPr>
          <w:rStyle w:val="700"/>
          <w:rFonts w:ascii="Times New Roman" w:hAnsi="Times New Roman" w:cs="Times New Roman"/>
          <w:b/>
          <w:sz w:val="22"/>
          <w:szCs w:val="22"/>
          <w:highlight w:val="none"/>
          <w:lang w:val="ru-RU"/>
        </w:rPr>
      </w:r>
      <w:r>
        <w:rPr>
          <w:rFonts w:eastAsia="Calibri"/>
          <w:bCs/>
          <w:i/>
          <w:sz w:val="22"/>
          <w:szCs w:val="22"/>
          <w:lang w:eastAsia="en-US"/>
        </w:rPr>
      </w:r>
      <w:r>
        <w:rPr>
          <w:rFonts w:eastAsia="Calibri"/>
          <w:bCs/>
          <w:i/>
          <w:sz w:val="22"/>
          <w:szCs w:val="22"/>
          <w:lang w:eastAsia="en-US"/>
        </w:rPr>
      </w:r>
    </w:p>
    <w:p>
      <w:pPr>
        <w:jc w:val="center"/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pPr>
      <w:r>
        <w:rPr>
          <w:rStyle w:val="700"/>
          <w:rFonts w:ascii="Times New Roman" w:hAnsi="Times New Roman" w:cs="Times New Roman"/>
          <w:b/>
          <w:sz w:val="22"/>
          <w:szCs w:val="22"/>
          <w:highlight w:val="none"/>
          <w:lang w:val="ru-RU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</w:p>
    <w:p>
      <w:pPr>
        <w:jc w:val="center"/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pPr>
      <w:r>
        <w:rPr>
          <w:rStyle w:val="700"/>
          <w:rFonts w:ascii="Times New Roman" w:hAnsi="Times New Roman" w:cs="Times New Roman"/>
          <w:b/>
          <w:sz w:val="22"/>
          <w:szCs w:val="22"/>
          <w:highlight w:val="none"/>
          <w:lang w:val="ru-RU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  <w:lang w:val="ru-RU"/>
        </w:rPr>
      </w:r>
    </w:p>
    <w:p>
      <w:pPr>
        <w:jc w:val="center"/>
        <w:rPr>
          <w:b/>
          <w:bCs/>
          <w:highlight w:val="none"/>
        </w:rPr>
      </w:pPr>
      <w:r>
        <w:rPr>
          <w:rFonts w:eastAsia="Calibri"/>
          <w:b/>
          <w:bCs/>
          <w:i/>
          <w:iCs/>
          <w:sz w:val="22"/>
          <w:szCs w:val="22"/>
          <w:lang w:eastAsia="en-US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ТЕХНИЧЕСКОЕ ЗАДАНИЕ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jc w:val="center"/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  <w:t xml:space="preserve">на закупку двух планшетных компьютеров для нужд ГКУ ВО «ЦБДД ВО»</w:t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p>
      <w:pPr>
        <w:jc w:val="center"/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tbl>
      <w:tblPr>
        <w:tblStyle w:val="763"/>
        <w:tblW w:w="0" w:type="auto"/>
        <w:tblInd w:w="510" w:type="dxa"/>
        <w:tblLayout w:type="fixed"/>
        <w:tblLook w:val="04A0" w:firstRow="1" w:lastRow="0" w:firstColumn="1" w:lastColumn="0" w:noHBand="0" w:noVBand="1"/>
      </w:tblPr>
      <w:tblGrid>
        <w:gridCol w:w="425"/>
        <w:gridCol w:w="1417"/>
        <w:gridCol w:w="834"/>
        <w:gridCol w:w="805"/>
        <w:gridCol w:w="1478"/>
        <w:gridCol w:w="1108"/>
        <w:gridCol w:w="1367"/>
        <w:gridCol w:w="1687"/>
        <w:gridCol w:w="1176"/>
        <w:gridCol w:w="1530"/>
        <w:gridCol w:w="1134"/>
        <w:gridCol w:w="1134"/>
        <w:gridCol w:w="1134"/>
      </w:tblGrid>
      <w:tr>
        <w:tblPrEx/>
        <w:trPr>
          <w:trHeight w:val="1350"/>
        </w:trPr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/п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Наименование товара, работы, услуги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ОКПД2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КТРУ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Наименование характеристики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Текстовое описание значения характеристики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Применение характеристик из справочника КТРУ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Конкретное значение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Единица измерения характеристики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Инструкция к заполнению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Национальный режим (ст.14 Закона № 44-ФЗ)</w:t>
            </w:r>
            <w:r/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   Количество</w:t>
            </w:r>
            <w:r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 Цена за 1     шт.</w:t>
            </w:r>
            <w:r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Планшетный компьютер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26.20.11.110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26.20.11.110-00000160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Ограничение закупок товаров, происходящих из иностранных государств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283" w:right="0" w:firstLine="0"/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2 шт.</w:t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Диагональ экрана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10.5 и &lt; 11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Дюйм (25,4 мм)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ind w:left="142" w:right="132" w:firstLin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2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Разрешение экрана, пиксель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highlight w:val="white"/>
                <w:u w:val="none"/>
                <w:vertAlign w:val="baseline"/>
              </w:rPr>
              <w:t xml:space="preserve">≥ 2000 х 1200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пиксель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0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Сенсорный экран, мультитач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27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Технология изготовления матрицы дисплея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IPS (PLS, ADS, AAS, FFS, SFT, New Mode2, Vistarich)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4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Тип матрицы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Жидкокристаллическая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1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Цветность экрана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Цветной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Архитектура процессора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ARM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0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ядер процессора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Штука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Частота процессора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2.2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Гигагерц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Объем встроенной памяти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120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Гигабайт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Объем оперативной памяти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Гигабайт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8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встроенных в корпус портов USB Type-C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Штука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3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аудиоразъема 3,5 мм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3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разъема для сим-карт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слота для карты памяти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3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A-GPS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GPS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1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ГЛОНАСС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Сканер отпечатка пальцев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Нет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Емкость аккумуляторной батареи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33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Ватт-час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86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встроенного микрофона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встроенного(ых) динамика(ов)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датчика акселерометра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датчика освещенности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6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клавиатуры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Нет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6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стилуса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1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Рабочая частота WiFi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highlight w:val="white"/>
                <w:u w:val="none"/>
                <w:vertAlign w:val="baseline"/>
              </w:rPr>
              <w:t xml:space="preserve">2.4, 5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Гигагерц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Беспроводная связь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NFC, Wi-Fi, Bluetooth, 4G (LTE), 3G (UMTS)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Версия Bluetooth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5,0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0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автофокуса для тыльной камеры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подсветки для тыльной камеры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тыльной камеры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фронтальной камеры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Разрешение тыльной камеры, Мпиксель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Мпиксель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Разрешение фронтальной камеры, Мпиксель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Мпиксель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Вес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≤ 0.6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Килограмм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132" w:right="0" w:firstLine="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/>
          <w:sz w:val="22"/>
          <w:u w:val="none"/>
          <w:vertAlign w:val="baseline"/>
        </w:rPr>
        <w:t xml:space="preserve">       Встроенное системное программное обеспечение должно быть русифицировано и внесено в Единый реестр Российских программ и баз данных</w:t>
      </w:r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/>
          <w:sz w:val="22"/>
          <w:u w:val="none"/>
          <w:vertAlign w:val="baseline"/>
        </w:rPr>
        <w:t xml:space="preserve"> (Запрет на иностранное ПО)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  <w:r>
        <w:rPr>
          <w:rStyle w:val="700"/>
          <w:rFonts w:ascii="Times New Roman" w:hAnsi="Times New Roman" w:cs="Times New Roman"/>
          <w:b/>
          <w:bCs/>
          <w:sz w:val="22"/>
          <w:szCs w:val="22"/>
          <w:highlight w:val="none"/>
        </w:rPr>
      </w:r>
    </w:p>
    <w:tbl>
      <w:tblPr>
        <w:tblW w:w="5000" w:type="pct"/>
        <w:tblInd w:w="-34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5204"/>
        <w:gridCol w:w="4842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04" w:type="dxa"/>
            <w:textDirection w:val="lrTb"/>
            <w:noWrap w:val="false"/>
          </w:tcPr>
          <w:p>
            <w:pPr>
              <w:pStyle w:val="757"/>
              <w:jc w:val="left"/>
              <w:spacing w:before="0" w:after="0" w:line="240" w:lineRule="auto"/>
              <w:widowControl w:val="off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Заказчик: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757"/>
              <w:jc w:val="left"/>
              <w:spacing w:before="0" w:after="0" w:line="240" w:lineRule="auto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ГКУ ВО «ЦБДД ВО»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_________________/Булатов Е.О./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42" w:type="dxa"/>
            <w:textDirection w:val="lrTb"/>
            <w:noWrap w:val="false"/>
          </w:tcPr>
          <w:p>
            <w:pPr>
              <w:pStyle w:val="667"/>
              <w:ind w:left="1416" w:hanging="14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Поставщик: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_________________/_________________/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67"/>
              <w:ind w:left="1416" w:hanging="14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667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continuous"/>
      <w:pgSz w:w="16838" w:h="11906" w:orient="landscape"/>
      <w:pgMar w:top="1152" w:right="568" w:bottom="707" w:left="680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PTAstra Serif">
    <w:panose1 w:val="020A0603040505020204"/>
  </w:font>
  <w:font w:name="Calibri">
    <w:panose1 w:val="020F0502020204030204"/>
  </w:font>
  <w:font w:name="Courier New">
    <w:panose1 w:val="02070309020205020404"/>
  </w:font>
  <w:font w:name="Arial">
    <w:panose1 w:val="020B0604020202020204"/>
  </w:font>
  <w:font w:name="Noto Sans">
    <w:panose1 w:val="020B05020405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/>
      <w:suff w:val="tab"/>
      <w:lvlText w:val="%1."/>
      <w:lvlJc w:val="left"/>
      <w:pPr>
        <w:ind w:left="5038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575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6478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719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791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8638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9358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1007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10798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080" w:hanging="72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  <w:tabs>
          <w:tab w:val="num" w:pos="0" w:leader="none"/>
        </w:tabs>
      </w:pPr>
    </w:lvl>
  </w:abstractNum>
  <w:abstractNum w:abstractNumId="2">
    <w:multiLevelType w:val="hybridMultilevel"/>
    <w:lvl w:ilvl="0">
      <w:start w:val="3"/>
      <w:numFmt w:val="decimal"/>
      <w:isLgl/>
      <w:suff w:val="tab"/>
      <w:lvlText w:val="%1."/>
      <w:lvlJc w:val="left"/>
      <w:pPr>
        <w:ind w:left="108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080" w:hanging="36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08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44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72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72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08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080"/>
        <w:tabs>
          <w:tab w:val="num" w:pos="0" w:leader="none"/>
        </w:tabs>
      </w:pPr>
    </w:lvl>
  </w:abstractNum>
  <w:abstractNum w:abstractNumId="3">
    <w:multiLevelType w:val="hybridMultilevel"/>
    <w:lvl w:ilvl="0">
      <w:start w:val="5"/>
      <w:numFmt w:val="decimal"/>
      <w:isLgl/>
      <w:suff w:val="tab"/>
      <w:lvlText w:val="%1."/>
      <w:lvlJc w:val="left"/>
      <w:pPr>
        <w:ind w:left="1440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216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80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60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32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40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60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48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200" w:hanging="18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oto Sans" w:cs="Noto Sans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666">
    <w:name w:val="No List"/>
    <w:uiPriority w:val="99"/>
    <w:semiHidden/>
    <w:unhideWhenUsed/>
  </w:style>
  <w:style w:type="paragraph" w:styleId="667" w:default="1">
    <w:name w:val="Normal"/>
    <w:qFormat/>
    <w:pPr>
      <w:jc w:val="left"/>
      <w:spacing w:before="0" w:after="0"/>
      <w:widowControl/>
    </w:pPr>
    <w:rPr>
      <w:rFonts w:ascii="Times New Roman" w:hAnsi="Times New Roman" w:eastAsia="Noto Sans" w:cs="Noto Sans"/>
      <w:color w:val="auto"/>
      <w:sz w:val="24"/>
      <w:szCs w:val="24"/>
      <w:lang w:val="ru-RU" w:eastAsia="ru-RU" w:bidi="ar-SA"/>
    </w:rPr>
  </w:style>
  <w:style w:type="paragraph" w:styleId="668">
    <w:name w:val="Heading 1"/>
    <w:basedOn w:val="667"/>
    <w:next w:val="667"/>
    <w:link w:val="677"/>
    <w:qFormat/>
    <w:pPr>
      <w:keepNext/>
      <w:outlineLvl w:val="0"/>
    </w:pPr>
    <w:rPr>
      <w:rFonts w:ascii="Arial" w:hAnsi="Arial" w:cs="Arial"/>
      <w:b/>
      <w:bCs/>
    </w:rPr>
  </w:style>
  <w:style w:type="paragraph" w:styleId="669">
    <w:name w:val="Heading 2"/>
    <w:basedOn w:val="667"/>
    <w:next w:val="667"/>
    <w:link w:val="67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0">
    <w:name w:val="Heading 3"/>
    <w:basedOn w:val="667"/>
    <w:next w:val="667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1">
    <w:name w:val="Heading 4"/>
    <w:basedOn w:val="667"/>
    <w:next w:val="667"/>
    <w:link w:val="6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667"/>
    <w:next w:val="667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667"/>
    <w:next w:val="667"/>
    <w:link w:val="68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667"/>
    <w:next w:val="667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667"/>
    <w:next w:val="667"/>
    <w:link w:val="68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667"/>
    <w:next w:val="667"/>
    <w:link w:val="68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78">
    <w:name w:val="Heading 2 Char"/>
    <w:uiPriority w:val="9"/>
    <w:qFormat/>
    <w:rPr>
      <w:rFonts w:ascii="Arial" w:hAnsi="Arial" w:eastAsia="Arial" w:cs="Arial"/>
      <w:sz w:val="34"/>
    </w:rPr>
  </w:style>
  <w:style w:type="character" w:styleId="679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80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81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82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83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84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85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86">
    <w:name w:val="Title Char"/>
    <w:uiPriority w:val="10"/>
    <w:qFormat/>
    <w:rPr>
      <w:sz w:val="48"/>
      <w:szCs w:val="48"/>
    </w:rPr>
  </w:style>
  <w:style w:type="character" w:styleId="687">
    <w:name w:val="Subtitle Char"/>
    <w:uiPriority w:val="11"/>
    <w:qFormat/>
    <w:rPr>
      <w:sz w:val="24"/>
      <w:szCs w:val="24"/>
    </w:rPr>
  </w:style>
  <w:style w:type="character" w:styleId="688">
    <w:name w:val="Quote Char"/>
    <w:link w:val="728"/>
    <w:uiPriority w:val="29"/>
    <w:qFormat/>
    <w:rPr>
      <w:i/>
    </w:rPr>
  </w:style>
  <w:style w:type="character" w:styleId="689">
    <w:name w:val="Intense Quote Char"/>
    <w:link w:val="729"/>
    <w:uiPriority w:val="30"/>
    <w:qFormat/>
    <w:rPr>
      <w:i/>
    </w:rPr>
  </w:style>
  <w:style w:type="character" w:styleId="690">
    <w:name w:val="Header Char"/>
    <w:uiPriority w:val="99"/>
    <w:qFormat/>
  </w:style>
  <w:style w:type="character" w:styleId="691">
    <w:name w:val="Footer Char"/>
    <w:uiPriority w:val="99"/>
    <w:qFormat/>
  </w:style>
  <w:style w:type="character" w:styleId="692">
    <w:name w:val="Caption Char"/>
    <w:uiPriority w:val="35"/>
    <w:qFormat/>
    <w:rPr>
      <w:b/>
      <w:bCs/>
      <w:color w:val="4f81bd" w:themeColor="accent1"/>
      <w:sz w:val="18"/>
      <w:szCs w:val="18"/>
    </w:rPr>
  </w:style>
  <w:style w:type="character" w:styleId="693">
    <w:name w:val="Hyperlink"/>
    <w:uiPriority w:val="99"/>
    <w:unhideWhenUsed/>
    <w:rPr>
      <w:color w:val="0000ff" w:themeColor="hyperlink"/>
      <w:u w:val="single"/>
    </w:rPr>
  </w:style>
  <w:style w:type="character" w:styleId="694">
    <w:name w:val="Footnote Text Char"/>
    <w:uiPriority w:val="99"/>
    <w:qFormat/>
    <w:rPr>
      <w:sz w:val="18"/>
    </w:rPr>
  </w:style>
  <w:style w:type="character" w:styleId="695">
    <w:name w:val="Символ сноски"/>
    <w:uiPriority w:val="99"/>
    <w:unhideWhenUsed/>
    <w:qFormat/>
    <w:rPr>
      <w:vertAlign w:val="superscript"/>
    </w:rPr>
  </w:style>
  <w:style w:type="character" w:styleId="696">
    <w:name w:val="footnote reference"/>
    <w:rPr>
      <w:vertAlign w:val="superscript"/>
    </w:rPr>
  </w:style>
  <w:style w:type="character" w:styleId="697">
    <w:name w:val="Endnote Text Char"/>
    <w:uiPriority w:val="99"/>
    <w:qFormat/>
    <w:rPr>
      <w:sz w:val="20"/>
    </w:rPr>
  </w:style>
  <w:style w:type="character" w:styleId="698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99">
    <w:name w:val="endnote reference"/>
    <w:rPr>
      <w:vertAlign w:val="superscript"/>
    </w:rPr>
  </w:style>
  <w:style w:type="character" w:styleId="700">
    <w:name w:val="Основной шрифт абзаца"/>
    <w:uiPriority w:val="1"/>
    <w:unhideWhenUsed/>
    <w:qFormat/>
  </w:style>
  <w:style w:type="character" w:styleId="701">
    <w:name w:val="page number"/>
    <w:basedOn w:val="700"/>
  </w:style>
  <w:style w:type="character" w:styleId="702">
    <w:name w:val="Основной текст с отступом Знак"/>
    <w:qFormat/>
    <w:rPr>
      <w:rFonts w:ascii="Arial" w:hAnsi="Arial"/>
    </w:rPr>
  </w:style>
  <w:style w:type="character" w:styleId="703">
    <w:name w:val="Гиперссылка"/>
    <w:uiPriority w:val="99"/>
    <w:unhideWhenUsed/>
    <w:qFormat/>
    <w:rPr>
      <w:color w:val="0000ff"/>
      <w:u w:val="single"/>
    </w:rPr>
  </w:style>
  <w:style w:type="character" w:styleId="704">
    <w:name w:val="Текст Знак"/>
    <w:link w:val="758"/>
    <w:qFormat/>
    <w:rPr>
      <w:rFonts w:ascii="Courier New" w:hAnsi="Courier New" w:cs="Courier New"/>
    </w:rPr>
  </w:style>
  <w:style w:type="character" w:styleId="705">
    <w:name w:val="Знак примечания"/>
    <w:uiPriority w:val="99"/>
    <w:semiHidden/>
    <w:unhideWhenUsed/>
    <w:qFormat/>
    <w:rPr>
      <w:sz w:val="16"/>
      <w:szCs w:val="16"/>
    </w:rPr>
  </w:style>
  <w:style w:type="character" w:styleId="706">
    <w:name w:val="Текст примечания Знак"/>
    <w:basedOn w:val="700"/>
    <w:link w:val="752"/>
    <w:uiPriority w:val="99"/>
    <w:semiHidden/>
    <w:qFormat/>
  </w:style>
  <w:style w:type="character" w:styleId="707">
    <w:name w:val="Тема примечания Знак"/>
    <w:link w:val="753"/>
    <w:uiPriority w:val="99"/>
    <w:semiHidden/>
    <w:qFormat/>
    <w:rPr>
      <w:b/>
      <w:bCs/>
    </w:rPr>
  </w:style>
  <w:style w:type="character" w:styleId="708">
    <w:name w:val="Текст сноски Знак"/>
    <w:basedOn w:val="700"/>
    <w:link w:val="754"/>
    <w:uiPriority w:val="99"/>
    <w:semiHidden/>
    <w:qFormat/>
  </w:style>
  <w:style w:type="character" w:styleId="709">
    <w:name w:val="Знак сноски"/>
    <w:uiPriority w:val="99"/>
    <w:semiHidden/>
    <w:unhideWhenUsed/>
    <w:qFormat/>
    <w:rPr>
      <w:vertAlign w:val="superscript"/>
    </w:rPr>
  </w:style>
  <w:style w:type="character" w:styleId="710">
    <w:name w:val="apple-converted-space"/>
    <w:basedOn w:val="700"/>
    <w:qFormat/>
  </w:style>
  <w:style w:type="character" w:styleId="711">
    <w:name w:val="wmi-callto"/>
    <w:basedOn w:val="700"/>
    <w:qFormat/>
  </w:style>
  <w:style w:type="character" w:styleId="712">
    <w:name w:val="Неразрешенное упоминание"/>
    <w:uiPriority w:val="99"/>
    <w:semiHidden/>
    <w:unhideWhenUsed/>
    <w:qFormat/>
    <w:rPr>
      <w:color w:val="605e5c"/>
      <w:shd w:val="clear" w:color="auto" w:fill="e1dfdd"/>
    </w:rPr>
  </w:style>
  <w:style w:type="character" w:styleId="713">
    <w:name w:val="Слабое выделение"/>
    <w:uiPriority w:val="19"/>
    <w:qFormat/>
    <w:rPr>
      <w:i/>
      <w:iCs/>
      <w:color w:val="404040"/>
    </w:rPr>
  </w:style>
  <w:style w:type="character" w:styleId="714">
    <w:name w:val="Абзац списка Знак"/>
    <w:link w:val="755"/>
    <w:uiPriority w:val="34"/>
    <w:qFormat/>
    <w:rPr>
      <w:rFonts w:ascii="Calibri" w:hAnsi="Calibri" w:eastAsia="Calibri"/>
      <w:sz w:val="22"/>
      <w:szCs w:val="22"/>
      <w:lang w:eastAsia="en-US"/>
    </w:rPr>
  </w:style>
  <w:style w:type="character" w:styleId="715">
    <w:name w:val="Оглавление 3 Знак"/>
    <w:uiPriority w:val="99"/>
    <w:semiHidden/>
    <w:qFormat/>
  </w:style>
  <w:style w:type="character" w:styleId="716" w:default="1">
    <w:name w:val="Default Paragraph Font"/>
    <w:uiPriority w:val="1"/>
    <w:semiHidden/>
    <w:unhideWhenUsed/>
    <w:qFormat/>
  </w:style>
  <w:style w:type="paragraph" w:styleId="717">
    <w:name w:val="Заголовок"/>
    <w:basedOn w:val="667"/>
    <w:next w:val="718"/>
    <w:qFormat/>
    <w:pPr>
      <w:keepNext/>
      <w:spacing w:before="240" w:after="120"/>
    </w:pPr>
    <w:rPr>
      <w:rFonts w:ascii="PTAstra Serif" w:hAnsi="PTAstra Serif" w:eastAsia="Noto Sans" w:cs="Noto Sans"/>
      <w:sz w:val="28"/>
      <w:szCs w:val="28"/>
    </w:rPr>
  </w:style>
  <w:style w:type="paragraph" w:styleId="718">
    <w:name w:val="Body Text"/>
    <w:basedOn w:val="667"/>
    <w:qFormat/>
    <w:rPr>
      <w:b/>
      <w:bCs/>
      <w:i/>
      <w:iCs/>
    </w:rPr>
  </w:style>
  <w:style w:type="paragraph" w:styleId="719">
    <w:name w:val="List"/>
    <w:basedOn w:val="718"/>
    <w:rPr>
      <w:rFonts w:ascii="PTAstra Serif" w:hAnsi="PTAstra Serif"/>
    </w:rPr>
  </w:style>
  <w:style w:type="paragraph" w:styleId="720">
    <w:name w:val="Caption"/>
    <w:basedOn w:val="667"/>
    <w:next w:val="667"/>
    <w:link w:val="69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21">
    <w:name w:val="Указатель"/>
    <w:basedOn w:val="667"/>
    <w:qFormat/>
    <w:pPr>
      <w:suppressLineNumbers/>
    </w:pPr>
    <w:rPr>
      <w:rFonts w:ascii="PTAstra Serif" w:hAnsi="PTAstra Serif"/>
    </w:rPr>
  </w:style>
  <w:style w:type="paragraph" w:styleId="722">
    <w:name w:val="Заголовок (user)"/>
    <w:basedOn w:val="667"/>
    <w:next w:val="718"/>
    <w:qFormat/>
    <w:pPr>
      <w:keepNext/>
      <w:spacing w:before="240" w:after="120"/>
    </w:pPr>
    <w:rPr>
      <w:rFonts w:ascii="PTAstra Serif" w:hAnsi="PTAstra Serif" w:eastAsia="Noto Sans" w:cs="Noto Sans"/>
      <w:sz w:val="28"/>
      <w:szCs w:val="28"/>
    </w:rPr>
  </w:style>
  <w:style w:type="paragraph" w:styleId="723">
    <w:name w:val="Указатель (user)"/>
    <w:basedOn w:val="667"/>
    <w:qFormat/>
    <w:pPr>
      <w:suppressLineNumbers/>
    </w:pPr>
    <w:rPr>
      <w:rFonts w:ascii="PTAstra Serif" w:hAnsi="PTAstra Serif"/>
    </w:rPr>
  </w:style>
  <w:style w:type="paragraph" w:styleId="724">
    <w:name w:val="List Paragraph"/>
    <w:basedOn w:val="667"/>
    <w:uiPriority w:val="34"/>
    <w:qFormat/>
    <w:pPr>
      <w:contextualSpacing/>
      <w:ind w:left="720"/>
      <w:spacing w:before="0" w:after="0"/>
    </w:pPr>
  </w:style>
  <w:style w:type="paragraph" w:styleId="725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oto Sans" w:cs="Noto Sans"/>
      <w:color w:val="auto"/>
      <w:sz w:val="20"/>
      <w:szCs w:val="20"/>
      <w:lang w:val="ru-RU" w:eastAsia="zh-CN" w:bidi="ar-SA"/>
    </w:rPr>
  </w:style>
  <w:style w:type="paragraph" w:styleId="726">
    <w:name w:val="Title"/>
    <w:basedOn w:val="667"/>
    <w:next w:val="667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27">
    <w:name w:val="Subtitle"/>
    <w:basedOn w:val="667"/>
    <w:next w:val="667"/>
    <w:link w:val="687"/>
    <w:uiPriority w:val="11"/>
    <w:qFormat/>
    <w:pPr>
      <w:spacing w:before="200" w:after="200"/>
    </w:pPr>
    <w:rPr>
      <w:sz w:val="24"/>
      <w:szCs w:val="24"/>
    </w:rPr>
  </w:style>
  <w:style w:type="paragraph" w:styleId="728">
    <w:name w:val="Quote"/>
    <w:basedOn w:val="667"/>
    <w:next w:val="667"/>
    <w:link w:val="688"/>
    <w:uiPriority w:val="29"/>
    <w:qFormat/>
    <w:pPr>
      <w:ind w:left="720" w:right="720"/>
    </w:pPr>
    <w:rPr>
      <w:i/>
    </w:rPr>
  </w:style>
  <w:style w:type="paragraph" w:styleId="729">
    <w:name w:val="Intense Quote"/>
    <w:basedOn w:val="667"/>
    <w:next w:val="667"/>
    <w:link w:val="689"/>
    <w:uiPriority w:val="30"/>
    <w:qFormat/>
    <w:pPr>
      <w:ind w:left="720" w:right="72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30">
    <w:name w:val="Header and Footer"/>
    <w:basedOn w:val="667"/>
    <w:qFormat/>
  </w:style>
  <w:style w:type="paragraph" w:styleId="731">
    <w:name w:val="Header"/>
    <w:basedOn w:val="667"/>
    <w:link w:val="690"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32">
    <w:name w:val="Footer"/>
    <w:basedOn w:val="667"/>
    <w:link w:val="691"/>
    <w:qFormat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33">
    <w:name w:val="footnote text"/>
    <w:basedOn w:val="667"/>
    <w:link w:val="69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34">
    <w:name w:val="endnote text"/>
    <w:basedOn w:val="667"/>
    <w:link w:val="697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35">
    <w:name w:val="toc 1"/>
    <w:basedOn w:val="667"/>
    <w:next w:val="667"/>
    <w:uiPriority w:val="39"/>
    <w:unhideWhenUsed/>
    <w:pPr>
      <w:ind w:left="0" w:right="0" w:firstLine="0"/>
      <w:spacing w:before="0" w:after="57"/>
    </w:pPr>
  </w:style>
  <w:style w:type="paragraph" w:styleId="736">
    <w:name w:val="toc 2"/>
    <w:basedOn w:val="667"/>
    <w:next w:val="667"/>
    <w:uiPriority w:val="39"/>
    <w:unhideWhenUsed/>
    <w:pPr>
      <w:ind w:left="283" w:right="0" w:firstLine="0"/>
      <w:spacing w:before="0" w:after="57"/>
    </w:pPr>
  </w:style>
  <w:style w:type="paragraph" w:styleId="737">
    <w:name w:val="toc 3"/>
    <w:basedOn w:val="667"/>
    <w:next w:val="667"/>
    <w:link w:val="715"/>
    <w:uiPriority w:val="99"/>
    <w:semiHidden/>
    <w:qFormat/>
    <w:pPr>
      <w:ind w:left="567"/>
    </w:pPr>
    <w:rPr>
      <w:sz w:val="20"/>
      <w:szCs w:val="20"/>
    </w:rPr>
  </w:style>
  <w:style w:type="paragraph" w:styleId="738">
    <w:name w:val="toc 4"/>
    <w:basedOn w:val="667"/>
    <w:next w:val="667"/>
    <w:uiPriority w:val="39"/>
    <w:unhideWhenUsed/>
    <w:pPr>
      <w:ind w:left="850" w:right="0" w:firstLine="0"/>
      <w:spacing w:before="0" w:after="57"/>
    </w:pPr>
  </w:style>
  <w:style w:type="paragraph" w:styleId="739">
    <w:name w:val="toc 5"/>
    <w:basedOn w:val="667"/>
    <w:next w:val="667"/>
    <w:uiPriority w:val="39"/>
    <w:unhideWhenUsed/>
    <w:pPr>
      <w:ind w:left="1134" w:right="0" w:firstLine="0"/>
      <w:spacing w:before="0" w:after="57"/>
    </w:pPr>
  </w:style>
  <w:style w:type="paragraph" w:styleId="740">
    <w:name w:val="toc 6"/>
    <w:basedOn w:val="667"/>
    <w:next w:val="667"/>
    <w:uiPriority w:val="39"/>
    <w:unhideWhenUsed/>
    <w:pPr>
      <w:ind w:left="1417" w:right="0" w:firstLine="0"/>
      <w:spacing w:before="0" w:after="57"/>
    </w:pPr>
  </w:style>
  <w:style w:type="paragraph" w:styleId="741">
    <w:name w:val="toc 7"/>
    <w:basedOn w:val="667"/>
    <w:next w:val="667"/>
    <w:uiPriority w:val="39"/>
    <w:unhideWhenUsed/>
    <w:pPr>
      <w:ind w:left="1701" w:right="0" w:firstLine="0"/>
      <w:spacing w:before="0" w:after="57"/>
    </w:pPr>
  </w:style>
  <w:style w:type="paragraph" w:styleId="742">
    <w:name w:val="toc 8"/>
    <w:basedOn w:val="667"/>
    <w:next w:val="667"/>
    <w:uiPriority w:val="39"/>
    <w:unhideWhenUsed/>
    <w:pPr>
      <w:ind w:left="1984" w:right="0" w:firstLine="0"/>
      <w:spacing w:before="0" w:after="57"/>
    </w:pPr>
  </w:style>
  <w:style w:type="paragraph" w:styleId="743">
    <w:name w:val="toc 9"/>
    <w:basedOn w:val="667"/>
    <w:next w:val="667"/>
    <w:uiPriority w:val="39"/>
    <w:unhideWhenUsed/>
    <w:pPr>
      <w:ind w:left="2268" w:right="0" w:firstLine="0"/>
      <w:spacing w:before="0" w:after="57"/>
    </w:pPr>
  </w:style>
  <w:style w:type="paragraph" w:styleId="744">
    <w:name w:val="index heading"/>
    <w:basedOn w:val="717"/>
  </w:style>
  <w:style w:type="paragraph" w:styleId="745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oto Sans" w:cs="Noto Sans"/>
      <w:color w:val="auto"/>
      <w:sz w:val="20"/>
      <w:szCs w:val="20"/>
      <w:lang w:val="ru-RU" w:eastAsia="zh-CN" w:bidi="ar-SA"/>
    </w:rPr>
  </w:style>
  <w:style w:type="paragraph" w:styleId="746">
    <w:name w:val="table of figures"/>
    <w:basedOn w:val="667"/>
    <w:next w:val="667"/>
    <w:uiPriority w:val="99"/>
    <w:unhideWhenUsed/>
    <w:pPr>
      <w:spacing w:before="0" w:after="0" w:afterAutospacing="0"/>
    </w:pPr>
  </w:style>
  <w:style w:type="paragraph" w:styleId="747">
    <w:name w:val="Текст выноски"/>
    <w:basedOn w:val="667"/>
    <w:semiHidden/>
    <w:qFormat/>
    <w:rPr>
      <w:rFonts w:ascii="Tahoma" w:hAnsi="Tahoma" w:cs="Tahoma"/>
      <w:sz w:val="16"/>
      <w:szCs w:val="16"/>
    </w:rPr>
  </w:style>
  <w:style w:type="paragraph" w:styleId="748">
    <w:name w:val="Обычный (веб)"/>
    <w:basedOn w:val="667"/>
    <w:uiPriority w:val="99"/>
    <w:qFormat/>
    <w:pPr>
      <w:spacing w:beforeAutospacing="1" w:afterAutospacing="1"/>
    </w:pPr>
  </w:style>
  <w:style w:type="paragraph" w:styleId="749">
    <w:name w:val="Текст (user)"/>
    <w:basedOn w:val="667"/>
    <w:link w:val="704"/>
    <w:qFormat/>
    <w:rPr>
      <w:rFonts w:ascii="Courier New" w:hAnsi="Courier New" w:cs="Courier New"/>
      <w:sz w:val="20"/>
      <w:szCs w:val="20"/>
    </w:rPr>
  </w:style>
  <w:style w:type="paragraph" w:styleId="750">
    <w:name w:val="Body Text Indent"/>
    <w:basedOn w:val="718"/>
    <w:link w:val="702"/>
    <w:qFormat/>
  </w:style>
  <w:style w:type="paragraph" w:styleId="751">
    <w:name w:val="Без интервала"/>
    <w:uiPriority w:val="1"/>
    <w:qFormat/>
    <w:pPr>
      <w:jc w:val="left"/>
      <w:spacing w:before="0" w:after="0"/>
      <w:widowControl/>
    </w:pPr>
    <w:rPr>
      <w:rFonts w:ascii="Calibri" w:hAnsi="Calibri" w:eastAsia="Calibri" w:cs="Noto Sans"/>
      <w:color w:val="auto"/>
      <w:sz w:val="22"/>
      <w:szCs w:val="22"/>
      <w:lang w:val="ru-RU" w:eastAsia="en-US" w:bidi="ar-SA"/>
    </w:rPr>
  </w:style>
  <w:style w:type="paragraph" w:styleId="752">
    <w:name w:val="Текст примечания"/>
    <w:basedOn w:val="667"/>
    <w:link w:val="706"/>
    <w:uiPriority w:val="99"/>
    <w:semiHidden/>
    <w:unhideWhenUsed/>
    <w:qFormat/>
    <w:rPr>
      <w:sz w:val="20"/>
      <w:szCs w:val="20"/>
    </w:rPr>
  </w:style>
  <w:style w:type="paragraph" w:styleId="753">
    <w:name w:val="Тема примечания"/>
    <w:basedOn w:val="752"/>
    <w:next w:val="752"/>
    <w:link w:val="707"/>
    <w:uiPriority w:val="99"/>
    <w:semiHidden/>
    <w:unhideWhenUsed/>
    <w:qFormat/>
    <w:rPr>
      <w:b/>
      <w:bCs/>
    </w:rPr>
  </w:style>
  <w:style w:type="paragraph" w:styleId="754">
    <w:name w:val="Текст сноски"/>
    <w:basedOn w:val="667"/>
    <w:link w:val="708"/>
    <w:uiPriority w:val="99"/>
    <w:semiHidden/>
    <w:unhideWhenUsed/>
    <w:qFormat/>
    <w:rPr>
      <w:sz w:val="20"/>
      <w:szCs w:val="20"/>
    </w:rPr>
  </w:style>
  <w:style w:type="paragraph" w:styleId="755">
    <w:name w:val="Абзац списка"/>
    <w:basedOn w:val="667"/>
    <w:link w:val="714"/>
    <w:uiPriority w:val="34"/>
    <w:qFormat/>
    <w:pPr>
      <w:contextualSpacing/>
      <w:ind w:left="720"/>
      <w:spacing w:before="0" w:after="160" w:line="259" w:lineRule="auto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756">
    <w:name w:val="Обычный7"/>
    <w:qFormat/>
    <w:pPr>
      <w:jc w:val="left"/>
      <w:spacing w:before="0" w:after="0"/>
      <w:widowControl/>
    </w:pPr>
    <w:rPr>
      <w:rFonts w:ascii="Times New Roman" w:hAnsi="Times New Roman" w:eastAsia="Noto Sans" w:cs="Noto Sans"/>
      <w:color w:val="auto"/>
      <w:sz w:val="22"/>
      <w:szCs w:val="20"/>
      <w:lang w:val="ru-RU" w:eastAsia="ru-RU" w:bidi="ar-SA"/>
    </w:rPr>
  </w:style>
  <w:style w:type="paragraph" w:styleId="757">
    <w:name w:val="Normal unindented"/>
    <w:uiPriority w:val="99"/>
    <w:qFormat/>
    <w:pPr>
      <w:jc w:val="both"/>
      <w:spacing w:before="120" w:after="120" w:line="276" w:lineRule="auto"/>
      <w:widowControl/>
    </w:pPr>
    <w:rPr>
      <w:rFonts w:ascii="Times New Roman" w:hAnsi="Times New Roman" w:eastAsia="Noto Sans" w:cs="Noto Sans"/>
      <w:color w:val="auto"/>
      <w:sz w:val="22"/>
      <w:szCs w:val="22"/>
      <w:lang w:val="ru-RU" w:eastAsia="ru-RU" w:bidi="ar-SA"/>
    </w:rPr>
  </w:style>
  <w:style w:type="paragraph" w:styleId="758">
    <w:name w:val="Текст"/>
    <w:basedOn w:val="720"/>
    <w:qFormat/>
  </w:style>
  <w:style w:type="paragraph" w:styleId="759">
    <w:name w:val="Содержимое таблицы"/>
    <w:basedOn w:val="667"/>
    <w:qFormat/>
    <w:pPr>
      <w:widowControl w:val="off"/>
      <w:suppressLineNumbers/>
    </w:pPr>
  </w:style>
  <w:style w:type="paragraph" w:styleId="760">
    <w:name w:val="Заголовок таблицы"/>
    <w:basedOn w:val="759"/>
    <w:qFormat/>
    <w:pPr>
      <w:jc w:val="center"/>
      <w:suppressLineNumbers/>
    </w:pPr>
    <w:rPr>
      <w:b/>
      <w:bCs/>
    </w:rPr>
  </w:style>
  <w:style w:type="numbering" w:styleId="761" w:default="1">
    <w:name w:val="Без списка"/>
    <w:uiPriority w:val="99"/>
    <w:semiHidden/>
    <w:unhideWhenUsed/>
    <w:qFormat/>
  </w:style>
  <w:style w:type="numbering" w:styleId="762">
    <w:name w:val="Нет списка"/>
    <w:uiPriority w:val="99"/>
    <w:semiHidden/>
    <w:unhideWhenUsed/>
    <w:qFormat/>
  </w:style>
  <w:style w:type="table" w:styleId="763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4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5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66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767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768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769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cPr>
        <w:shd w:val="clear" w:color="ffffff" w:fill="f2f2f2" w:themeFill="text1" w:themeFillTint="00"/>
      </w:tcPr>
    </w:tblStylePr>
    <w:tblStylePr w:type="band1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0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777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cPr>
        <w:shd w:val="clear" w:color="ffffff" w:fill="dae5f1" w:themeFill="accent1" w:themeFillTint="34"/>
      </w:tcPr>
    </w:tblStylePr>
    <w:tblStylePr w:type="band1Vert">
      <w:rPr>
        <w:sz w:val="22"/>
      </w:rPr>
      <w:tcPr>
        <w:shd w:val="clear" w:color="ffffff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cbcbcb" w:themeFill="text1" w:themeFillTint="34"/>
      </w:tcPr>
    </w:tblStylePr>
    <w:tblStylePr w:type="band1Vert">
      <w:rPr>
        <w:sz w:val="22"/>
      </w:rPr>
      <w:tcPr>
        <w:shd w:val="clear" w:color="ffffff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792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ce6f1" w:themeFill="accent1" w:themeFillTint="32"/>
      </w:tcPr>
    </w:tblStylePr>
    <w:tblStylePr w:type="band1Vert">
      <w:rPr>
        <w:sz w:val="22"/>
      </w:rPr>
      <w:tcPr>
        <w:shd w:val="clear" w:color="ffffff" w:fill="dce6f1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f2dcdb" w:themeFill="accent2" w:themeFillTint="32"/>
      </w:tcPr>
    </w:tblStylePr>
    <w:tblStylePr w:type="band1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</w:tcBorders>
      </w:tcPr>
    </w:tblStylePr>
  </w:style>
  <w:style w:type="table" w:styleId="794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af0dd" w:themeFill="accent3" w:themeFillTint="34"/>
      </w:tcPr>
    </w:tblStylePr>
    <w:tblStylePr w:type="band1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</w:tcBorders>
      </w:tcPr>
    </w:tblStylePr>
  </w:style>
  <w:style w:type="table" w:styleId="795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e5dfec" w:themeFill="accent4" w:themeFillTint="34"/>
      </w:tcPr>
    </w:tblStylePr>
    <w:tblStylePr w:type="band1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</w:tcBorders>
      </w:tcPr>
    </w:tblStylePr>
  </w:style>
  <w:style w:type="table" w:styleId="796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aeef3" w:themeFill="accent5" w:themeFillTint="34"/>
      </w:tcPr>
    </w:tblStylePr>
    <w:tblStylePr w:type="band1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</w:tcBorders>
      </w:tcPr>
    </w:tblStylePr>
  </w:style>
  <w:style w:type="table" w:styleId="797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de9d8" w:themeFill="accent6" w:themeFillTint="34"/>
      </w:tcPr>
    </w:tblStylePr>
    <w:tblStylePr w:type="band1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</w:tcBorders>
      </w:tcPr>
    </w:tblStylePr>
  </w:style>
  <w:style w:type="table" w:styleId="798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sz w:val="22"/>
      </w:rPr>
      <w:tcPr>
        <w:shd w:val="clear" w:color="ffffff" w:fill="000000" w:themeFill="text1"/>
      </w:tc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  <w:sz w:val="22"/>
      </w:rPr>
      <w:tcPr>
        <w:shd w:val="clear" w:color="ffffff" w:fill="000000" w:themeFill="text1"/>
      </w:tcPr>
    </w:tblStylePr>
    <w:tblStylePr w:type="lastRow">
      <w:rPr>
        <w:b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9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sz w:val="22"/>
      </w:rPr>
      <w:tcPr>
        <w:shd w:val="clear" w:color="ffffff" w:fill="4f81bd" w:themeFill="accent1"/>
      </w:tc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  <w:sz w:val="22"/>
      </w:rPr>
      <w:tcPr>
        <w:shd w:val="clear" w:color="ffffff" w:fill="4f81bd" w:themeFill="accent1"/>
      </w:tcPr>
    </w:tblStylePr>
    <w:tblStylePr w:type="lastRow">
      <w:rPr>
        <w:b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0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sz w:val="22"/>
      </w:rPr>
      <w:tcPr>
        <w:shd w:val="clear" w:color="ffffff" w:fill="c0504d" w:themeFill="accent2"/>
      </w:tc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  <w:sz w:val="22"/>
      </w:rPr>
      <w:tcPr>
        <w:shd w:val="clear" w:color="ffffff" w:fill="c0504d" w:themeFill="accent2"/>
      </w:tcPr>
    </w:tblStylePr>
    <w:tblStylePr w:type="lastRow">
      <w:rPr>
        <w:b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0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sz w:val="22"/>
      </w:rPr>
      <w:tcPr>
        <w:shd w:val="clear" w:color="ffffff" w:fill="9bbb59" w:themeFill="accent3"/>
      </w:tc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  <w:sz w:val="22"/>
      </w:rPr>
      <w:tcPr>
        <w:shd w:val="clear" w:color="ffffff" w:fill="9bbb59" w:themeFill="accent3"/>
      </w:tcPr>
    </w:tblStylePr>
    <w:tblStylePr w:type="lastRow">
      <w:rPr>
        <w:b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0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sz w:val="22"/>
      </w:rPr>
      <w:tcPr>
        <w:shd w:val="clear" w:color="ffffff" w:fill="8064a2" w:themeFill="accent4"/>
      </w:tc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  <w:sz w:val="22"/>
      </w:rPr>
      <w:tcPr>
        <w:shd w:val="clear" w:color="ffffff" w:fill="8064a2" w:themeFill="accent4"/>
      </w:tcPr>
    </w:tblStylePr>
    <w:tblStylePr w:type="lastRow">
      <w:rPr>
        <w:b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0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sz w:val="22"/>
      </w:rPr>
      <w:tcPr>
        <w:shd w:val="clear" w:color="ffffff" w:fill="4bacc6" w:themeFill="accent5"/>
      </w:tc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  <w:sz w:val="22"/>
      </w:rPr>
      <w:tcPr>
        <w:shd w:val="clear" w:color="ffffff" w:fill="4bacc6" w:themeFill="accent5"/>
      </w:tcPr>
    </w:tblStylePr>
    <w:tblStylePr w:type="lastRow">
      <w:rPr>
        <w:b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0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sz w:val="22"/>
      </w:rPr>
      <w:tcPr>
        <w:shd w:val="clear" w:color="ffffff" w:fill="f79646" w:themeFill="accent6"/>
      </w:tc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  <w:sz w:val="22"/>
      </w:rPr>
      <w:tcPr>
        <w:shd w:val="clear" w:color="ffffff" w:fill="f79646" w:themeFill="accent6"/>
      </w:tcPr>
    </w:tblStylePr>
    <w:tblStylePr w:type="lastRow">
      <w:rPr>
        <w:b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05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0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3e70a3" w:themeColor="accent1" w:themeTint="80" w:themeShade="95"/>
        <w:sz w:val="22"/>
      </w:rPr>
    </w:tblStylePr>
  </w:style>
  <w:style w:type="table" w:styleId="80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0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5c702f" w:themeColor="accent3" w:themeTint="FE" w:themeShade="95"/>
        <w:sz w:val="22"/>
      </w:rPr>
    </w:tblStylePr>
  </w:style>
  <w:style w:type="table" w:styleId="80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1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1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266777" w:themeColor="accent5" w:themeShade="95"/>
        <w:sz w:val="22"/>
      </w:rPr>
    </w:tblStylePr>
  </w:style>
  <w:style w:type="table" w:styleId="812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27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28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29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30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31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32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33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4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5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d9969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6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7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8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1cd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39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9bf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0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ffffff" w:fill="bfbfbf" w:themeFill="text1" w:themeFillTint="40"/>
      </w:tcPr>
    </w:tblStylePr>
    <w:tblStylePr w:type="band1Vert">
      <w:rPr>
        <w:sz w:val="22"/>
      </w:rPr>
      <w:tcPr>
        <w:shd w:val="clear" w:color="fffff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1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cPr>
        <w:shd w:val="clear" w:color="ffffff" w:fill="d3e0ee" w:themeFill="accent1" w:themeFillTint="40"/>
      </w:tcPr>
    </w:tblStylePr>
    <w:tblStylePr w:type="band1Vert">
      <w:rPr>
        <w:sz w:val="22"/>
      </w:rPr>
      <w:tcPr>
        <w:shd w:val="clear" w:color="ffffff" w:fill="d3e0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2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cPr>
        <w:shd w:val="clear" w:color="ffffff" w:fill="efd3d2" w:themeFill="accent2" w:themeFillTint="40"/>
      </w:tcPr>
    </w:tblStylePr>
    <w:tblStylePr w:type="band1Vert">
      <w:rPr>
        <w:sz w:val="22"/>
      </w:rPr>
      <w:tcPr>
        <w:shd w:val="clear" w:color="ffffff" w:fill="efd3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3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cPr>
        <w:shd w:val="clear" w:color="ffffff" w:fill="e6eed5" w:themeFill="accent3" w:themeFillTint="40"/>
      </w:tcPr>
    </w:tblStylePr>
    <w:tblStylePr w:type="band1Vert">
      <w:rPr>
        <w:sz w:val="22"/>
      </w:rPr>
      <w:tcPr>
        <w:shd w:val="clear" w:color="ffffff" w:fill="e6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4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cPr>
        <w:shd w:val="clear" w:color="ffffff" w:fill="dfd8e7" w:themeFill="accent4" w:themeFillTint="40"/>
      </w:tcPr>
    </w:tblStylePr>
    <w:tblStylePr w:type="band1Vert">
      <w:rPr>
        <w:sz w:val="22"/>
      </w:rPr>
      <w:tcPr>
        <w:shd w:val="clear" w:color="ffffff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5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cPr>
        <w:shd w:val="clear" w:color="ffffff" w:fill="d1eaf0" w:themeFill="accent5" w:themeFillTint="40"/>
      </w:tcPr>
    </w:tblStylePr>
    <w:tblStylePr w:type="band1Vert">
      <w:rPr>
        <w:sz w:val="22"/>
      </w:rPr>
      <w:tcPr>
        <w:shd w:val="clear" w:color="ffffff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6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cPr>
        <w:shd w:val="clear" w:color="ffffff" w:fill="fce4d1" w:themeFill="accent6" w:themeFillTint="40"/>
      </w:tcPr>
    </w:tblStylePr>
    <w:tblStylePr w:type="band1Vert">
      <w:rPr>
        <w:sz w:val="22"/>
      </w:rPr>
      <w:tcPr>
        <w:shd w:val="clear" w:color="ffffff" w:fill="fce4d1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ffff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47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4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54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5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5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5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5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6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61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6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6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6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6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6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6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68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69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70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71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72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73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74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75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f2f2" w:themeFill="text1" w:themeFillTint="00"/>
      </w:tcPr>
    </w:tblStylePr>
    <w:tblStylePr w:type="band2Vert">
      <w:rPr>
        <w:sz w:val="22"/>
      </w:rPr>
      <w:tcPr>
        <w:shd w:val="clear" w:color="ffffff" w:fill="f2f2f2" w:themeFill="text1" w:themeFillTint="00"/>
      </w:tcPr>
    </w:tblStylePr>
    <w:tblStylePr w:type="firstCol">
      <w:rPr>
        <w:sz w:val="22"/>
      </w:rPr>
      <w:tcPr>
        <w:shd w:val="clear" w:color="ffffff" w:fill="7f7f7f" w:themeFill="text1" w:themeFillTint="80"/>
      </w:tcPr>
    </w:tblStylePr>
    <w:tblStylePr w:type="firstRow">
      <w:rPr>
        <w:sz w:val="22"/>
      </w:rPr>
      <w:tcPr>
        <w:shd w:val="clear" w:color="ffffff" w:fill="7f7f7f" w:themeFill="text1" w:themeFillTint="80"/>
      </w:tcPr>
    </w:tblStylePr>
    <w:tblStylePr w:type="lastCol">
      <w:rPr>
        <w:sz w:val="22"/>
      </w:rPr>
      <w:tcPr>
        <w:shd w:val="clear" w:color="ffffff" w:fill="7f7f7f" w:themeFill="text1" w:themeFillTint="80"/>
      </w:tcPr>
    </w:tblStylePr>
    <w:tblStylePr w:type="lastRow">
      <w:rPr>
        <w:sz w:val="22"/>
      </w:rPr>
      <w:tcPr>
        <w:shd w:val="clear" w:color="ffffff" w:fill="7f7f7f" w:themeFill="text1" w:themeFillTint="80"/>
      </w:tcPr>
    </w:tblStylePr>
  </w:style>
  <w:style w:type="table" w:styleId="876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c7d7ea" w:themeFill="accent1" w:themeFillTint="50"/>
      </w:tcPr>
    </w:tblStylePr>
    <w:tblStylePr w:type="band2Vert">
      <w:rPr>
        <w:sz w:val="22"/>
      </w:rPr>
      <w:tcPr>
        <w:shd w:val="clear" w:color="ffffff" w:fill="c7d7ea" w:themeFill="accent1" w:themeFillTint="50"/>
      </w:tcPr>
    </w:tblStylePr>
    <w:tblStylePr w:type="firstCol">
      <w:rPr>
        <w:sz w:val="22"/>
      </w:rPr>
      <w:tcPr>
        <w:shd w:val="clear" w:color="ffffff" w:fill="5d8dc2" w:themeFill="accent1" w:themeFillTint="EA"/>
      </w:tcPr>
    </w:tblStylePr>
    <w:tblStylePr w:type="firstRow">
      <w:rPr>
        <w:sz w:val="22"/>
      </w:rPr>
      <w:tcPr>
        <w:shd w:val="clear" w:color="ffffff" w:fill="5d8dc2" w:themeFill="accent1" w:themeFillTint="EA"/>
      </w:tcPr>
    </w:tblStylePr>
    <w:tblStylePr w:type="lastCol">
      <w:rPr>
        <w:sz w:val="22"/>
      </w:rPr>
      <w:tcPr>
        <w:shd w:val="clear" w:color="ffffff" w:fill="5d8dc2" w:themeFill="accent1" w:themeFillTint="EA"/>
      </w:tcPr>
    </w:tblStylePr>
    <w:tblStylePr w:type="lastRow">
      <w:rPr>
        <w:sz w:val="22"/>
      </w:rPr>
      <w:tcPr>
        <w:shd w:val="clear" w:color="ffffff" w:fill="5d8dc2" w:themeFill="accent1" w:themeFillTint="EA"/>
      </w:tcPr>
    </w:tblStylePr>
  </w:style>
  <w:style w:type="table" w:styleId="877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2dcdb" w:themeFill="accent2" w:themeFillTint="32"/>
      </w:tcPr>
    </w:tblStylePr>
    <w:tblStylePr w:type="band2Vert">
      <w:rPr>
        <w:sz w:val="22"/>
      </w:rPr>
      <w:tcPr>
        <w:shd w:val="clear" w:color="ffffff" w:fill="f2dcdb" w:themeFill="accent2" w:themeFillTint="32"/>
      </w:tcPr>
    </w:tblStylePr>
    <w:tblStylePr w:type="firstCol">
      <w:rPr>
        <w:sz w:val="22"/>
      </w:rPr>
      <w:tcPr>
        <w:shd w:val="clear" w:color="ffffff" w:fill="d99694" w:themeFill="accent2" w:themeFillTint="97"/>
      </w:tcPr>
    </w:tblStylePr>
    <w:tblStylePr w:type="firstRow">
      <w:rPr>
        <w:sz w:val="22"/>
      </w:rPr>
      <w:tcPr>
        <w:shd w:val="clear" w:color="ffffff" w:fill="d99694" w:themeFill="accent2" w:themeFillTint="97"/>
      </w:tcPr>
    </w:tblStylePr>
    <w:tblStylePr w:type="lastCol">
      <w:rPr>
        <w:sz w:val="22"/>
      </w:rPr>
      <w:tcPr>
        <w:shd w:val="clear" w:color="ffffff" w:fill="d99694" w:themeFill="accent2" w:themeFillTint="97"/>
      </w:tcPr>
    </w:tblStylePr>
    <w:tblStylePr w:type="lastRow">
      <w:rPr>
        <w:sz w:val="22"/>
      </w:rPr>
      <w:tcPr>
        <w:shd w:val="clear" w:color="ffffff" w:fill="d99694" w:themeFill="accent2" w:themeFillTint="97"/>
      </w:tcPr>
    </w:tblStylePr>
  </w:style>
  <w:style w:type="table" w:styleId="878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af0dd" w:themeFill="accent3" w:themeFillTint="34"/>
      </w:tcPr>
    </w:tblStylePr>
    <w:tblStylePr w:type="band2Vert">
      <w:rPr>
        <w:sz w:val="22"/>
      </w:rPr>
      <w:tcPr>
        <w:shd w:val="clear" w:color="ffffff" w:fill="eaf0dd" w:themeFill="accent3" w:themeFillTint="34"/>
      </w:tcPr>
    </w:tblStylePr>
    <w:tblStylePr w:type="firstCol">
      <w:rPr>
        <w:sz w:val="22"/>
      </w:rPr>
      <w:tcPr>
        <w:shd w:val="clear" w:color="ffffff" w:fill="9bba59" w:themeFill="accent3" w:themeFillTint="FE"/>
      </w:tcPr>
    </w:tblStylePr>
    <w:tblStylePr w:type="firstRow">
      <w:rPr>
        <w:sz w:val="22"/>
      </w:rPr>
      <w:tcPr>
        <w:shd w:val="clear" w:color="ffffff" w:fill="9bba59" w:themeFill="accent3" w:themeFillTint="FE"/>
      </w:tcPr>
    </w:tblStylePr>
    <w:tblStylePr w:type="lastCol">
      <w:rPr>
        <w:sz w:val="22"/>
      </w:rPr>
      <w:tcPr>
        <w:shd w:val="clear" w:color="ffffff" w:fill="9bba59" w:themeFill="accent3" w:themeFillTint="FE"/>
      </w:tcPr>
    </w:tblStylePr>
    <w:tblStylePr w:type="lastRow">
      <w:rPr>
        <w:sz w:val="22"/>
      </w:rPr>
      <w:tcPr>
        <w:shd w:val="clear" w:color="ffffff" w:fill="9bba59" w:themeFill="accent3" w:themeFillTint="FE"/>
      </w:tcPr>
    </w:tblStylePr>
  </w:style>
  <w:style w:type="table" w:styleId="879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e5dfec" w:themeFill="accent4" w:themeFillTint="34"/>
      </w:tcPr>
    </w:tblStylePr>
    <w:tblStylePr w:type="band2Vert">
      <w:rPr>
        <w:sz w:val="22"/>
      </w:rPr>
      <w:tcPr>
        <w:shd w:val="clear" w:color="ffffff" w:fill="e5dfec" w:themeFill="accent4" w:themeFillTint="34"/>
      </w:tcPr>
    </w:tblStylePr>
    <w:tblStylePr w:type="firstCol">
      <w:rPr>
        <w:sz w:val="22"/>
      </w:rPr>
      <w:tcPr>
        <w:shd w:val="clear" w:color="ffffff" w:fill="b2a1c6" w:themeFill="accent4" w:themeFillTint="9A"/>
      </w:tcPr>
    </w:tblStylePr>
    <w:tblStylePr w:type="firstRow">
      <w:rPr>
        <w:sz w:val="22"/>
      </w:rPr>
      <w:tcPr>
        <w:shd w:val="clear" w:color="ffffff" w:fill="b2a1c6" w:themeFill="accent4" w:themeFillTint="9A"/>
      </w:tcPr>
    </w:tblStylePr>
    <w:tblStylePr w:type="lastCol">
      <w:rPr>
        <w:sz w:val="22"/>
      </w:rPr>
      <w:tcPr>
        <w:shd w:val="clear" w:color="ffffff" w:fill="b2a1c6" w:themeFill="accent4" w:themeFillTint="9A"/>
      </w:tcPr>
    </w:tblStylePr>
    <w:tblStylePr w:type="lastRow">
      <w:rPr>
        <w:sz w:val="22"/>
      </w:rPr>
      <w:tcPr>
        <w:shd w:val="clear" w:color="ffffff" w:fill="b2a1c6" w:themeFill="accent4" w:themeFillTint="9A"/>
      </w:tcPr>
    </w:tblStylePr>
  </w:style>
  <w:style w:type="table" w:styleId="880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daeef3" w:themeFill="accent5" w:themeFillTint="34"/>
      </w:tcPr>
    </w:tblStylePr>
    <w:tblStylePr w:type="band2Vert">
      <w:rPr>
        <w:sz w:val="22"/>
      </w:rPr>
      <w:tcPr>
        <w:shd w:val="clear" w:color="ffffff" w:fill="daeef3" w:themeFill="accent5" w:themeFillTint="34"/>
      </w:tcPr>
    </w:tblStylePr>
    <w:tblStylePr w:type="firstCol">
      <w:rPr>
        <w:sz w:val="22"/>
      </w:rPr>
      <w:tcPr>
        <w:shd w:val="clear" w:color="ffffff" w:fill="4bacc6" w:themeFill="accent5"/>
      </w:tcPr>
    </w:tblStylePr>
    <w:tblStylePr w:type="firstRow">
      <w:rPr>
        <w:sz w:val="22"/>
      </w:rPr>
      <w:tcPr>
        <w:shd w:val="clear" w:color="ffffff" w:fill="4bacc6" w:themeFill="accent5"/>
      </w:tcPr>
    </w:tblStylePr>
    <w:tblStylePr w:type="lastCol">
      <w:rPr>
        <w:sz w:val="22"/>
      </w:rPr>
      <w:tcPr>
        <w:shd w:val="clear" w:color="ffffff" w:fill="4bacc6" w:themeFill="accent5"/>
      </w:tcPr>
    </w:tblStylePr>
    <w:tblStylePr w:type="lastRow">
      <w:rPr>
        <w:sz w:val="22"/>
      </w:rPr>
      <w:tcPr>
        <w:shd w:val="clear" w:color="ffffff" w:fill="4bacc6" w:themeFill="accent5"/>
      </w:tcPr>
    </w:tblStylePr>
  </w:style>
  <w:style w:type="table" w:styleId="881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fff" w:fill="fde9d8" w:themeFill="accent6" w:themeFillTint="34"/>
      </w:tcPr>
    </w:tblStylePr>
    <w:tblStylePr w:type="band2Vert">
      <w:rPr>
        <w:sz w:val="22"/>
      </w:rPr>
      <w:tcPr>
        <w:shd w:val="clear" w:color="ffffff" w:fill="fde9d8" w:themeFill="accent6" w:themeFillTint="34"/>
      </w:tcPr>
    </w:tblStylePr>
    <w:tblStylePr w:type="firstCol">
      <w:rPr>
        <w:sz w:val="22"/>
      </w:rPr>
      <w:tcPr>
        <w:shd w:val="clear" w:color="ffffff" w:fill="f79646" w:themeFill="accent6"/>
      </w:tcPr>
    </w:tblStylePr>
    <w:tblStylePr w:type="firstRow">
      <w:rPr>
        <w:sz w:val="22"/>
      </w:rPr>
      <w:tcPr>
        <w:shd w:val="clear" w:color="ffffff" w:fill="f79646" w:themeFill="accent6"/>
      </w:tcPr>
    </w:tblStylePr>
    <w:tblStylePr w:type="lastCol">
      <w:rPr>
        <w:sz w:val="22"/>
      </w:rPr>
      <w:tcPr>
        <w:shd w:val="clear" w:color="ffffff" w:fill="f79646" w:themeFill="accent6"/>
      </w:tcPr>
    </w:tblStylePr>
    <w:tblStylePr w:type="lastRow">
      <w:rPr>
        <w:sz w:val="22"/>
      </w:rPr>
      <w:tcPr>
        <w:shd w:val="clear" w:color="ffffff" w:fill="f79646" w:themeFill="accent6"/>
      </w:tcPr>
    </w:tblStylePr>
  </w:style>
  <w:style w:type="table" w:styleId="882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83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4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85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86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87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88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89">
    <w:name w:val="Обычная таблица"/>
    <w:uiPriority w:val="99"/>
    <w:semiHidden/>
    <w:unhideWhenUsed/>
    <w:qFormat/>
    <w:tblPr/>
  </w:style>
  <w:style w:type="table" w:styleId="890">
    <w:name w:val="Сетка таблицы"/>
    <w:basedOn w:val="889"/>
    <w:uiPriority w:val="39"/>
    <w:tblPr/>
  </w:style>
  <w:style w:type="table" w:styleId="891">
    <w:name w:val="TableGrid1"/>
    <w:rPr>
      <w:sz w:val="22"/>
      <w:szCs w:val="22"/>
      <w:lang w:val="ru-RU" w:eastAsia="ru-RU" w:bidi="ar-SA"/>
    </w:rPr>
    <w:tblPr/>
  </w:style>
  <w:style w:type="table" w:styleId="892" w:default="1">
    <w:name w:val="Normal Table"/>
    <w:uiPriority w:val="99"/>
    <w:semiHidden/>
    <w:unhideWhenUsed/>
    <w:tblPr/>
  </w:style>
  <w:style w:type="character" w:styleId="893" w:customStyle="1">
    <w:name w:val="Основной текст2"/>
    <w:qFormat/>
    <w:rPr>
      <w:rFonts w:ascii="Times New Roman" w:hAnsi="Times New Roman" w:eastAsia="Times New Roman" w:cs="Times New Roman"/>
      <w:color w:val="000000"/>
      <w:spacing w:val="0"/>
      <w:sz w:val="21"/>
      <w:szCs w:val="21"/>
      <w:shd w:val="clear" w:color="auto" w:fill="ffffff"/>
      <w:lang w:val="ru-RU"/>
    </w:rPr>
  </w:style>
  <w:style w:type="paragraph" w:styleId="894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2"/>
      <w:highlight w:val="none"/>
      <w:u w:val="none"/>
      <w:shd w:val="clear" w:color="auto" w:fill="auto"/>
      <w:vertAlign w:val="baseline"/>
      <w:rtl w:val="0"/>
      <w:cs w:val="0"/>
      <w:lang w:val="ru-RU" w:eastAsia="ru-RU" w:bidi="ar-SA"/>
      <w14:ligatures w14:val="none"/>
    </w:rPr>
  </w:style>
  <w:style w:type="paragraph" w:styleId="895" w:customStyle="1">
    <w:name w:val="Table Contents"/>
    <w:basedOn w:val="704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896" w:customStyle="1">
    <w:name w:val="Обычный"/>
    <w:basedOn w:val="675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4</dc:title>
  <dc:subject/>
  <dc:creator>User</dc:creator>
  <dc:description/>
  <dc:language>ru-RU</dc:language>
  <cp:lastModifiedBy>oz4</cp:lastModifiedBy>
  <cp:revision>35</cp:revision>
  <dcterms:created xsi:type="dcterms:W3CDTF">2025-02-17T09:31:00Z</dcterms:created>
  <dcterms:modified xsi:type="dcterms:W3CDTF">2026-10-01T10:48:35Z</dcterms:modified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