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spacing w:before="120" w:after="120"/>
        <w:ind w:firstLine="567"/>
        <w:jc w:val="right"/>
        <w:rPr>
          <w:b/>
          <w:sz w:val="24"/>
          <w:szCs w:val="24"/>
        </w:rPr>
      </w:pPr>
      <w:r>
        <w:rPr>
          <w:sz w:val="24"/>
          <w:szCs w:val="24"/>
        </w:rPr>
        <w:t>Приложение № 2 к запросу</w:t>
      </w:r>
    </w:p>
    <w:p>
      <w:pPr>
        <w:pStyle w:val="Title"/>
        <w:spacing w:before="120" w:after="300"/>
        <w:ind w:hanging="0"/>
        <w:contextualSpacing/>
        <w:rPr/>
      </w:pPr>
      <w:r>
        <w:rPr/>
        <w:t>Проект государственного контракта</w:t>
      </w:r>
      <w:bookmarkStart w:id="0" w:name="_ref_21031203"/>
      <w:bookmarkStart w:id="1" w:name="_title_1"/>
      <w:r>
        <w:rPr/>
        <w:t xml:space="preserve"> № МЗС/2</w:t>
      </w:r>
    </w:p>
    <w:p>
      <w:pPr>
        <w:pStyle w:val="Title"/>
        <w:ind w:hanging="0"/>
        <w:rPr>
          <w:color w:val="000000"/>
          <w:highlight w:val="none"/>
          <w:shd w:fill="FFFFFF" w:val="clear"/>
        </w:rPr>
      </w:pPr>
      <w:bookmarkEnd w:id="0"/>
      <w:bookmarkEnd w:id="1"/>
      <w:r>
        <w:rPr>
          <w:color w:val="000000"/>
          <w:shd w:fill="FFFFFF" w:val="clear"/>
        </w:rPr>
        <w:t xml:space="preserve">на поставку канцтоваров для нужд Министерства культуры </w:t>
        <w:br/>
        <w:t>Владимирской области</w:t>
      </w:r>
    </w:p>
    <w:tbl>
      <w:tblPr>
        <w:tblW w:w="5000" w:type="pct"/>
        <w:jc w:val="left"/>
        <w:tblInd w:w="108" w:type="dxa"/>
        <w:tblLayout w:type="fixed"/>
        <w:tblCellMar>
          <w:top w:w="0" w:type="dxa"/>
          <w:left w:w="108" w:type="dxa"/>
          <w:bottom w:w="0" w:type="dxa"/>
          <w:right w:w="108" w:type="dxa"/>
        </w:tblCellMar>
        <w:tblLook w:val="00a0"/>
      </w:tblPr>
      <w:tblGrid>
        <w:gridCol w:w="3906"/>
        <w:gridCol w:w="6015"/>
      </w:tblGrid>
      <w:tr>
        <w:trPr>
          <w:trHeight w:val="359" w:hRule="atLeast"/>
        </w:trPr>
        <w:tc>
          <w:tcPr>
            <w:tcW w:w="3906" w:type="dxa"/>
            <w:tcBorders/>
          </w:tcPr>
          <w:p>
            <w:pPr>
              <w:pStyle w:val="Normalunindented"/>
              <w:keepNext w:val="true"/>
              <w:spacing w:lineRule="auto" w:line="240" w:before="120" w:after="120"/>
              <w:jc w:val="left"/>
              <w:rPr>
                <w:highlight w:val="none"/>
                <w:shd w:fill="auto" w:val="clear"/>
              </w:rPr>
            </w:pPr>
            <w:r>
              <w:rPr>
                <w:shd w:fill="auto" w:val="clear"/>
              </w:rPr>
              <w:t>г. Владимир</w:t>
            </w:r>
          </w:p>
        </w:tc>
        <w:tc>
          <w:tcPr>
            <w:tcW w:w="6015" w:type="dxa"/>
            <w:tcBorders/>
          </w:tcPr>
          <w:p>
            <w:pPr>
              <w:pStyle w:val="Normalunindented"/>
              <w:keepNext w:val="true"/>
              <w:spacing w:lineRule="auto" w:line="240" w:before="120" w:after="120"/>
              <w:jc w:val="right"/>
              <w:rPr>
                <w:highlight w:val="none"/>
                <w:shd w:fill="auto" w:val="clear"/>
              </w:rPr>
            </w:pPr>
            <w:r>
              <w:rPr>
                <w:shd w:fill="auto" w:val="clear"/>
              </w:rPr>
              <w:t>"___" ___________ 2026 г.</w:t>
            </w:r>
          </w:p>
        </w:tc>
      </w:tr>
    </w:tbl>
    <w:p>
      <w:pPr>
        <w:pStyle w:val="Normal"/>
        <w:tabs>
          <w:tab w:val="clear" w:pos="709"/>
          <w:tab w:val="left" w:pos="0" w:leader="none"/>
        </w:tabs>
        <w:spacing w:lineRule="auto" w:line="240" w:before="120" w:after="0"/>
        <w:ind w:firstLine="567"/>
        <w:rPr>
          <w:sz w:val="24"/>
          <w:szCs w:val="24"/>
        </w:rPr>
      </w:pPr>
      <w:r>
        <w:rPr>
          <w:sz w:val="24"/>
          <w:szCs w:val="24"/>
        </w:rPr>
      </w:r>
    </w:p>
    <w:p>
      <w:pPr>
        <w:pStyle w:val="Normal"/>
        <w:tabs>
          <w:tab w:val="clear" w:pos="709"/>
          <w:tab w:val="left" w:pos="0" w:leader="none"/>
        </w:tabs>
        <w:spacing w:lineRule="auto" w:line="240" w:before="120" w:after="0"/>
        <w:ind w:firstLine="567"/>
        <w:rPr>
          <w:sz w:val="24"/>
          <w:szCs w:val="24"/>
        </w:rPr>
      </w:pPr>
      <w:r>
        <w:rPr>
          <w:sz w:val="24"/>
          <w:szCs w:val="24"/>
        </w:rPr>
        <w:t>Министерство культуры Владимирской области, именуемое в дальнейшем «заказчик», в лице Министра культуры Деминой Ольги Викторовны, действующего на основании Положения о Министерстве культуры Владимирской области, утвержденного постановлением Правительства Владимирской области от 18.05.2023 № 351, с одной сторон</w:t>
      </w:r>
      <w:r>
        <w:rPr>
          <w:sz w:val="24"/>
          <w:szCs w:val="24"/>
          <w:shd w:fill="auto" w:val="clear"/>
        </w:rPr>
        <w:t>ы, и _________________________________, именуемое в дальнейшем «поставщик», в лице ____________________________________, действует на основании ______________________, с другой стороны, именуемые совместно «стороны» и каждый по отдельности «сторона», руководствуясь п. 4 ч. 1 ст. 93Федерального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p>
    <w:p>
      <w:pPr>
        <w:pStyle w:val="Normal"/>
        <w:tabs>
          <w:tab w:val="clear" w:pos="709"/>
          <w:tab w:val="left" w:pos="0" w:leader="none"/>
        </w:tabs>
        <w:spacing w:lineRule="auto" w:line="240" w:before="120" w:after="0"/>
        <w:ind w:firstLine="567"/>
        <w:rPr>
          <w:sz w:val="24"/>
          <w:szCs w:val="24"/>
        </w:rPr>
      </w:pPr>
      <w:r>
        <w:rPr>
          <w:sz w:val="24"/>
          <w:szCs w:val="24"/>
        </w:rPr>
      </w:r>
    </w:p>
    <w:p>
      <w:pPr>
        <w:pStyle w:val="Heading1"/>
        <w:keepNext w:val="false"/>
        <w:widowControl w:val="false"/>
        <w:tabs>
          <w:tab w:val="clear" w:pos="709"/>
          <w:tab w:val="left" w:pos="0" w:leader="none"/>
        </w:tabs>
        <w:spacing w:lineRule="auto" w:line="240" w:before="240" w:after="0"/>
        <w:ind w:hanging="0"/>
        <w:rPr>
          <w:szCs w:val="24"/>
        </w:rPr>
      </w:pPr>
      <w:bookmarkStart w:id="2" w:name="_ref_21267930"/>
      <w:bookmarkEnd w:id="2"/>
      <w:r>
        <w:rPr>
          <w:szCs w:val="24"/>
        </w:rPr>
        <w:t>Предмет контракта</w:t>
      </w:r>
    </w:p>
    <w:p>
      <w:pPr>
        <w:pStyle w:val="Normal"/>
        <w:tabs>
          <w:tab w:val="clear" w:pos="709"/>
          <w:tab w:val="left" w:pos="567" w:leader="none"/>
        </w:tabs>
        <w:spacing w:lineRule="auto" w:line="240" w:before="120" w:after="0"/>
        <w:ind w:firstLine="567"/>
        <w:rPr>
          <w:rFonts w:eastAsia="Calibri"/>
          <w:b/>
          <w:sz w:val="24"/>
          <w:szCs w:val="24"/>
        </w:rPr>
      </w:pPr>
      <w:r>
        <w:rPr>
          <w:rFonts w:eastAsia="Calibri"/>
          <w:sz w:val="24"/>
          <w:szCs w:val="24"/>
        </w:rPr>
        <w:t>1.1.</w:t>
      </w:r>
      <w:r>
        <w:rPr>
          <w:rFonts w:eastAsia="Calibri"/>
          <w:b/>
          <w:sz w:val="24"/>
          <w:szCs w:val="24"/>
        </w:rPr>
        <w:t xml:space="preserve"> </w:t>
      </w:r>
      <w:r>
        <w:rPr>
          <w:rFonts w:eastAsia="Calibri"/>
          <w:b w:val="false"/>
          <w:bCs w:val="false"/>
          <w:sz w:val="24"/>
          <w:szCs w:val="24"/>
        </w:rPr>
        <w:t xml:space="preserve">Поставщик обязуется поставить канцтовары для нужд Министерства культуры (далее - Товар), а Заказчик обязуется принять и оплатить Товар в порядке и на условиях, предусмотренных Контрактом. </w:t>
      </w:r>
    </w:p>
    <w:p>
      <w:pPr>
        <w:pStyle w:val="Normal"/>
        <w:tabs>
          <w:tab w:val="clear" w:pos="709"/>
          <w:tab w:val="left" w:pos="0" w:leader="none"/>
        </w:tabs>
        <w:spacing w:lineRule="auto" w:line="240" w:before="120" w:after="0"/>
        <w:ind w:firstLine="567"/>
        <w:rPr>
          <w:color w:val="FF0000"/>
          <w:sz w:val="24"/>
          <w:szCs w:val="24"/>
        </w:rPr>
      </w:pPr>
      <w:r>
        <w:rPr>
          <w:rFonts w:eastAsia="Calibri"/>
          <w:sz w:val="24"/>
          <w:szCs w:val="24"/>
        </w:rPr>
        <w:t>1.2. Наименование</w:t>
      </w:r>
      <w:r>
        <w:rPr>
          <w:rFonts w:eastAsia="Calibri"/>
          <w:sz w:val="24"/>
          <w:szCs w:val="24"/>
          <w:shd w:fill="auto" w:val="clear"/>
        </w:rPr>
        <w:t>, количество поставляемого товара, функциональные, технические и качественные характеристики товара установлены в Спецификации</w:t>
      </w:r>
      <w:r>
        <w:rPr>
          <w:rFonts w:eastAsia="Calibri"/>
          <w:i w:val="false"/>
          <w:iCs w:val="false"/>
          <w:sz w:val="24"/>
          <w:szCs w:val="24"/>
          <w:shd w:fill="auto" w:val="clear"/>
        </w:rPr>
        <w:t xml:space="preserve"> (Приложение № 1 к настоящему контракту), являющейся неотъемлемой частью настоящего Контракта.</w:t>
      </w:r>
    </w:p>
    <w:p>
      <w:pPr>
        <w:pStyle w:val="Normal"/>
        <w:spacing w:lineRule="auto" w:line="240" w:before="120" w:after="0"/>
        <w:ind w:firstLine="567"/>
        <w:rPr>
          <w:sz w:val="24"/>
          <w:szCs w:val="24"/>
        </w:rPr>
      </w:pPr>
      <w:r>
        <w:rPr>
          <w:sz w:val="24"/>
          <w:szCs w:val="24"/>
        </w:rPr>
        <w:t>1</w:t>
      </w:r>
      <w:r>
        <w:rPr>
          <w:rFonts w:eastAsia="Calibri"/>
          <w:color w:val="000000"/>
          <w:sz w:val="24"/>
          <w:szCs w:val="24"/>
        </w:rPr>
        <w:t>.3. Место поставки товар</w:t>
      </w:r>
      <w:r>
        <w:rPr>
          <w:rFonts w:eastAsia="Calibri"/>
          <w:color w:val="000000"/>
          <w:sz w:val="24"/>
          <w:szCs w:val="24"/>
          <w:shd w:fill="FFFFFF" w:val="clear"/>
        </w:rPr>
        <w:t>а: Владимирская область, г. Владимир, ул. Музейная, д. 3.</w:t>
      </w:r>
    </w:p>
    <w:p>
      <w:pPr>
        <w:pStyle w:val="Normal"/>
        <w:spacing w:lineRule="auto" w:line="240" w:before="120" w:after="0"/>
        <w:ind w:firstLine="567"/>
        <w:rPr>
          <w:rFonts w:eastAsia="Calibri"/>
          <w:color w:val="000000"/>
          <w:sz w:val="24"/>
          <w:szCs w:val="24"/>
        </w:rPr>
      </w:pPr>
      <w:bookmarkStart w:id="3" w:name="_ref_21267930_Копия_1"/>
      <w:bookmarkEnd w:id="3"/>
      <w:r>
        <w:rPr>
          <w:rFonts w:eastAsia="Calibri"/>
          <w:color w:val="000000"/>
          <w:sz w:val="24"/>
          <w:szCs w:val="24"/>
        </w:rPr>
        <w:t xml:space="preserve">1.4. Идентификационный код закупки:262332900929933290100100150000000244 </w:t>
      </w:r>
    </w:p>
    <w:p>
      <w:pPr>
        <w:pStyle w:val="Heading1"/>
        <w:keepNext w:val="false"/>
        <w:widowControl w:val="false"/>
        <w:tabs>
          <w:tab w:val="clear" w:pos="709"/>
          <w:tab w:val="left" w:pos="0" w:leader="none"/>
        </w:tabs>
        <w:spacing w:lineRule="auto" w:line="240" w:before="240" w:after="0"/>
        <w:ind w:hanging="0"/>
        <w:rPr>
          <w:rFonts w:eastAsia="Calibri"/>
          <w:szCs w:val="24"/>
        </w:rPr>
      </w:pPr>
      <w:r>
        <w:rPr>
          <w:szCs w:val="24"/>
        </w:rPr>
        <w:t>Цена контракта, порядок и срок оплаты</w:t>
      </w:r>
    </w:p>
    <w:p>
      <w:pPr>
        <w:pStyle w:val="Heading1"/>
        <w:keepNext w:val="false"/>
        <w:widowControl w:val="false"/>
        <w:numPr>
          <w:ilvl w:val="0"/>
          <w:numId w:val="0"/>
        </w:numPr>
        <w:tabs>
          <w:tab w:val="clear" w:pos="709"/>
          <w:tab w:val="left" w:pos="567" w:leader="none"/>
        </w:tabs>
        <w:spacing w:lineRule="auto" w:line="240"/>
        <w:ind w:firstLine="567" w:left="0"/>
        <w:jc w:val="both"/>
        <w:rPr>
          <w:rFonts w:eastAsia="Calibri"/>
          <w:b w:val="false"/>
          <w:bCs w:val="false"/>
          <w:color w:val="000000"/>
          <w:szCs w:val="24"/>
        </w:rPr>
      </w:pPr>
      <w:r>
        <w:rPr>
          <w:rFonts w:eastAsia="Calibri"/>
          <w:b w:val="false"/>
          <w:bCs w:val="false"/>
          <w:color w:val="000000"/>
          <w:szCs w:val="24"/>
        </w:rPr>
        <w:t xml:space="preserve">2.1. </w:t>
      </w:r>
      <w:r>
        <w:rPr>
          <w:rFonts w:eastAsia="Calibri"/>
          <w:b w:val="false"/>
          <w:bCs w:val="false"/>
          <w:color w:val="000000"/>
          <w:sz w:val="24"/>
          <w:szCs w:val="24"/>
          <w:shd w:fill="auto" w:val="clear"/>
          <w:lang w:eastAsia="ar-SA"/>
        </w:rPr>
        <w:t>Цена контракта является твердой, определена на весь срок исполнения контракта, составляет: _____(_______) рублей _____ копеек, в том числе налог на добавленную стоимость (далее – НДС) по налоговой ставке ______ (_______) процентов, или НДС не облагается (</w:t>
      </w:r>
      <w:r>
        <w:rPr>
          <w:rFonts w:eastAsia="Calibri"/>
          <w:b w:val="false"/>
          <w:bCs w:val="false"/>
          <w:i/>
          <w:iCs/>
          <w:color w:val="000000"/>
          <w:sz w:val="24"/>
          <w:szCs w:val="24"/>
          <w:shd w:fill="auto" w:val="clear"/>
          <w:lang w:eastAsia="ar-SA"/>
        </w:rPr>
        <w:t>в случае заключения договора с организацией или индивидуальным предпринимателем, применяющими упрощенную систему налогообложения</w:t>
      </w:r>
      <w:r>
        <w:rPr>
          <w:rFonts w:eastAsia="Calibri"/>
          <w:b w:val="false"/>
          <w:bCs w:val="false"/>
          <w:color w:val="000000"/>
          <w:sz w:val="24"/>
          <w:szCs w:val="24"/>
          <w:shd w:fill="auto" w:val="clear"/>
          <w:lang w:eastAsia="ar-SA"/>
        </w:rPr>
        <w:t>).</w:t>
      </w:r>
    </w:p>
    <w:p>
      <w:pPr>
        <w:pStyle w:val="Normal"/>
        <w:widowControl w:val="false"/>
        <w:numPr>
          <w:ilvl w:val="0"/>
          <w:numId w:val="0"/>
        </w:numPr>
        <w:tabs>
          <w:tab w:val="clear" w:pos="709"/>
          <w:tab w:val="left" w:pos="567" w:leader="none"/>
        </w:tabs>
        <w:spacing w:lineRule="auto" w:line="240"/>
        <w:ind w:firstLine="567" w:left="0"/>
        <w:jc w:val="both"/>
        <w:rPr>
          <w:rFonts w:eastAsia="Calibri"/>
          <w:b w:val="false"/>
          <w:bCs w:val="false"/>
          <w:color w:val="000000"/>
          <w:szCs w:val="24"/>
        </w:rPr>
      </w:pPr>
      <w:r>
        <w:rPr>
          <w:rFonts w:eastAsia="Calibri"/>
          <w:b w:val="false"/>
          <w:bCs w:val="false"/>
          <w:color w:val="000000"/>
          <w:sz w:val="24"/>
          <w:szCs w:val="24"/>
          <w:shd w:fill="auto" w:val="clear"/>
          <w:lang w:eastAsia="ar-SA"/>
        </w:rPr>
        <w:t>2.2.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уплату налогов, сборов, других обязательных платежей и иные расходы, связанные с исполнением Контракта.</w:t>
      </w:r>
    </w:p>
    <w:p>
      <w:pPr>
        <w:pStyle w:val="Normal"/>
        <w:widowControl w:val="false"/>
        <w:numPr>
          <w:ilvl w:val="0"/>
          <w:numId w:val="0"/>
        </w:numPr>
        <w:tabs>
          <w:tab w:val="clear" w:pos="709"/>
          <w:tab w:val="left" w:pos="567" w:leader="none"/>
        </w:tabs>
        <w:spacing w:lineRule="auto" w:line="240"/>
        <w:ind w:firstLine="567" w:left="0"/>
        <w:jc w:val="both"/>
        <w:rPr>
          <w:rFonts w:eastAsia="Calibri"/>
          <w:b w:val="false"/>
          <w:bCs w:val="false"/>
          <w:color w:val="000000"/>
          <w:szCs w:val="24"/>
        </w:rPr>
      </w:pPr>
      <w:r>
        <w:rPr>
          <w:rFonts w:eastAsia="Calibri"/>
          <w:b w:val="false"/>
          <w:bCs w:val="false"/>
          <w:color w:val="000000"/>
          <w:sz w:val="24"/>
          <w:szCs w:val="24"/>
          <w:shd w:fill="auto" w:val="clear"/>
          <w:lang w:eastAsia="ar-SA"/>
        </w:rPr>
        <w:t xml:space="preserve">2.3. 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 </w:t>
      </w:r>
    </w:p>
    <w:p>
      <w:pPr>
        <w:pStyle w:val="Normal"/>
        <w:tabs>
          <w:tab w:val="clear" w:pos="709"/>
          <w:tab w:val="left" w:pos="0" w:leader="none"/>
          <w:tab w:val="left" w:pos="567" w:leader="none"/>
        </w:tabs>
        <w:spacing w:lineRule="auto" w:line="240" w:before="120" w:after="0"/>
        <w:ind w:firstLine="567"/>
        <w:rPr>
          <w:rFonts w:eastAsia="Calibri"/>
          <w:color w:val="000000"/>
          <w:sz w:val="24"/>
          <w:szCs w:val="24"/>
        </w:rPr>
      </w:pPr>
      <w:r>
        <w:rPr>
          <w:rFonts w:eastAsia="Calibri"/>
          <w:color w:val="000000"/>
          <w:sz w:val="24"/>
          <w:szCs w:val="24"/>
        </w:rPr>
        <w:t xml:space="preserve">2.4. Источник финансирования: </w:t>
      </w:r>
      <w:r>
        <w:rPr>
          <w:rFonts w:eastAsia="Calibri"/>
          <w:b w:val="false"/>
          <w:bCs w:val="false"/>
          <w:color w:val="000000"/>
          <w:sz w:val="24"/>
          <w:szCs w:val="24"/>
          <w:shd w:fill="auto" w:val="clear"/>
        </w:rPr>
        <w:t xml:space="preserve">областной бюджет. (КБК 558 0804 9990000190 244) </w:t>
      </w:r>
    </w:p>
    <w:p>
      <w:pPr>
        <w:pStyle w:val="Normal"/>
        <w:tabs>
          <w:tab w:val="clear" w:pos="709"/>
          <w:tab w:val="left" w:pos="0" w:leader="none"/>
          <w:tab w:val="left" w:pos="567" w:leader="none"/>
        </w:tabs>
        <w:spacing w:lineRule="auto" w:line="240" w:before="120" w:after="0"/>
        <w:ind w:firstLine="567"/>
        <w:rPr>
          <w:rFonts w:eastAsia="Calibri"/>
          <w:color w:val="FF0000"/>
          <w:sz w:val="24"/>
          <w:szCs w:val="24"/>
        </w:rPr>
      </w:pPr>
      <w:r>
        <w:rPr>
          <w:rFonts w:eastAsia="Calibri"/>
          <w:color w:val="000000"/>
          <w:sz w:val="24"/>
          <w:szCs w:val="24"/>
        </w:rPr>
        <w:t xml:space="preserve">2.5. </w:t>
      </w:r>
      <w:r>
        <w:rPr>
          <w:rFonts w:eastAsia="Calibri"/>
          <w:sz w:val="24"/>
          <w:szCs w:val="24"/>
        </w:rPr>
        <w:t>Валюта цены контракта и расчетов с поставщиком - Российский рубль.</w:t>
      </w:r>
    </w:p>
    <w:p>
      <w:pPr>
        <w:pStyle w:val="Heading1"/>
        <w:keepNext w:val="false"/>
        <w:widowControl w:val="false"/>
        <w:numPr>
          <w:ilvl w:val="0"/>
          <w:numId w:val="0"/>
        </w:numPr>
        <w:tabs>
          <w:tab w:val="clear" w:pos="709"/>
          <w:tab w:val="left" w:pos="0" w:leader="none"/>
          <w:tab w:val="left" w:pos="567" w:leader="none"/>
        </w:tabs>
        <w:spacing w:lineRule="auto" w:line="240"/>
        <w:ind w:firstLine="567" w:left="0"/>
        <w:jc w:val="both"/>
        <w:rPr>
          <w:rFonts w:eastAsia="Calibri"/>
          <w:b w:val="false"/>
          <w:color w:val="FF0000"/>
          <w:szCs w:val="24"/>
        </w:rPr>
      </w:pPr>
      <w:r>
        <w:rPr>
          <w:b w:val="false"/>
          <w:szCs w:val="24"/>
        </w:rPr>
        <w:t xml:space="preserve">2.6. Срок оплаты обязательств по контракту. </w:t>
      </w:r>
    </w:p>
    <w:p>
      <w:pPr>
        <w:pStyle w:val="Normal"/>
        <w:widowControl w:val="false"/>
        <w:tabs>
          <w:tab w:val="clear" w:pos="709"/>
          <w:tab w:val="left" w:pos="0" w:leader="none"/>
        </w:tabs>
        <w:spacing w:lineRule="auto" w:line="240" w:before="120" w:after="0"/>
        <w:ind w:firstLine="567"/>
        <w:rPr>
          <w:rFonts w:eastAsia="Calibri"/>
          <w:i/>
          <w:sz w:val="24"/>
          <w:szCs w:val="24"/>
        </w:rPr>
      </w:pPr>
      <w:r>
        <w:rPr>
          <w:rFonts w:eastAsia="Calibri"/>
          <w:sz w:val="24"/>
          <w:szCs w:val="24"/>
        </w:rPr>
        <w:t xml:space="preserve">Оплата поставленного товара производится заказчиком в размерах, установленных контрактом, исходя из фактически поставленного товара, в срок не более </w:t>
      </w:r>
      <w:r>
        <w:rPr>
          <w:rFonts w:eastAsia="Calibri"/>
          <w:sz w:val="24"/>
          <w:szCs w:val="24"/>
          <w:shd w:fill="auto" w:val="clear"/>
        </w:rPr>
        <w:t>7 (семи)</w:t>
      </w:r>
      <w:r>
        <w:rPr>
          <w:rFonts w:eastAsia="Calibri"/>
          <w:sz w:val="24"/>
          <w:szCs w:val="24"/>
        </w:rPr>
        <w:t xml:space="preserve"> рабочих дней с даты подписания заказчиком документа о приемке.</w:t>
      </w:r>
    </w:p>
    <w:p>
      <w:pPr>
        <w:pStyle w:val="Heading1"/>
        <w:keepNext w:val="false"/>
        <w:widowControl w:val="false"/>
        <w:numPr>
          <w:ilvl w:val="0"/>
          <w:numId w:val="0"/>
        </w:numPr>
        <w:tabs>
          <w:tab w:val="clear" w:pos="709"/>
          <w:tab w:val="left" w:pos="0" w:leader="none"/>
          <w:tab w:val="left" w:pos="567" w:leader="none"/>
        </w:tabs>
        <w:spacing w:lineRule="auto" w:line="240"/>
        <w:ind w:firstLine="567" w:left="0"/>
        <w:jc w:val="both"/>
        <w:rPr>
          <w:b w:val="false"/>
          <w:szCs w:val="24"/>
        </w:rPr>
      </w:pPr>
      <w:r>
        <w:rPr>
          <w:b w:val="false"/>
          <w:szCs w:val="24"/>
        </w:rPr>
        <w:t>2.6.</w:t>
      </w:r>
      <w:r>
        <w:rPr>
          <w:b w:val="false"/>
          <w:color w:val="7030A0"/>
          <w:szCs w:val="24"/>
        </w:rPr>
        <w:t>1</w:t>
      </w:r>
      <w:r>
        <w:rPr>
          <w:b w:val="false"/>
          <w:szCs w:val="24"/>
        </w:rPr>
        <w:t xml:space="preserve">. Авансирование </w:t>
      </w:r>
      <w:r>
        <w:rPr>
          <w:b w:val="false"/>
          <w:bCs w:val="false"/>
          <w:sz w:val="24"/>
          <w:szCs w:val="24"/>
        </w:rPr>
        <w:t>не предусмотрено.</w:t>
      </w:r>
    </w:p>
    <w:p>
      <w:pPr>
        <w:pStyle w:val="Heading1"/>
        <w:keepNext w:val="false"/>
        <w:widowControl w:val="false"/>
        <w:numPr>
          <w:ilvl w:val="0"/>
          <w:numId w:val="0"/>
        </w:numPr>
        <w:tabs>
          <w:tab w:val="clear" w:pos="709"/>
          <w:tab w:val="left" w:pos="0" w:leader="none"/>
          <w:tab w:val="left" w:pos="567" w:leader="none"/>
        </w:tabs>
        <w:spacing w:lineRule="auto" w:line="240"/>
        <w:ind w:firstLine="567" w:left="0"/>
        <w:jc w:val="both"/>
        <w:rPr>
          <w:b w:val="false"/>
          <w:color w:val="FF0000"/>
          <w:szCs w:val="24"/>
        </w:rPr>
      </w:pPr>
      <w:r>
        <w:rPr>
          <w:b w:val="false"/>
          <w:szCs w:val="24"/>
        </w:rPr>
        <w:t xml:space="preserve">2.7. Порядок оплаты обязательств по контракту. </w:t>
      </w:r>
    </w:p>
    <w:p>
      <w:pPr>
        <w:pStyle w:val="Normal"/>
        <w:tabs>
          <w:tab w:val="left" w:pos="0" w:leader="none"/>
          <w:tab w:val="left" w:pos="709" w:leader="none"/>
        </w:tabs>
        <w:spacing w:lineRule="auto" w:line="240" w:before="120" w:after="0"/>
        <w:ind w:firstLine="567"/>
        <w:rPr>
          <w:rFonts w:eastAsia="Calibri"/>
          <w:sz w:val="24"/>
          <w:szCs w:val="24"/>
        </w:rPr>
      </w:pPr>
      <w:r>
        <w:rPr>
          <w:rFonts w:eastAsia="Calibri"/>
          <w:color w:val="000000"/>
          <w:sz w:val="24"/>
          <w:szCs w:val="24"/>
        </w:rPr>
        <w:t xml:space="preserve">2.7.1. Оплата производится  по безналичному расчету платежными поручениями путём перечисления денежных средств заказчиком на расчётный счёт поставщика, указанный в настоящем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pPr>
        <w:pStyle w:val="Normal"/>
        <w:widowControl w:val="false"/>
        <w:spacing w:lineRule="auto" w:line="240" w:before="120" w:after="0"/>
        <w:ind w:firstLine="567"/>
        <w:rPr>
          <w:rFonts w:eastAsia="Calibri"/>
          <w:sz w:val="24"/>
          <w:szCs w:val="24"/>
        </w:rPr>
      </w:pPr>
      <w:r>
        <w:rPr>
          <w:rFonts w:eastAsia="Calibri"/>
          <w:sz w:val="24"/>
          <w:szCs w:val="24"/>
        </w:rPr>
        <w:t xml:space="preserve">2.7.2. В случае неисполнения поставщиком требования заказчика об уплате неустоек (штрафов, пеней), предъявляемого в соответствии с Законом, заказчик </w:t>
      </w:r>
      <w:r>
        <w:rPr>
          <w:rFonts w:eastAsia="Calibri"/>
          <w:color w:val="000000"/>
          <w:sz w:val="24"/>
          <w:szCs w:val="24"/>
        </w:rPr>
        <w:t>вправе осуществить</w:t>
      </w:r>
      <w:r>
        <w:rPr>
          <w:rFonts w:eastAsia="Calibri"/>
          <w:color w:val="7030A0"/>
          <w:sz w:val="24"/>
          <w:szCs w:val="24"/>
        </w:rPr>
        <w:t xml:space="preserve"> </w:t>
      </w:r>
      <w:r>
        <w:rPr>
          <w:rFonts w:eastAsia="Calibri"/>
          <w:sz w:val="24"/>
          <w:szCs w:val="24"/>
        </w:rPr>
        <w:t>удержание из суммы, подлежащей оплате поставщику.</w:t>
      </w:r>
    </w:p>
    <w:p>
      <w:pPr>
        <w:pStyle w:val="Normal"/>
        <w:tabs>
          <w:tab w:val="left" w:pos="0" w:leader="none"/>
          <w:tab w:val="left" w:pos="709" w:leader="none"/>
        </w:tabs>
        <w:spacing w:lineRule="auto" w:line="240" w:before="120" w:after="0"/>
        <w:ind w:firstLine="567"/>
        <w:rPr>
          <w:rFonts w:eastAsia="Calibri"/>
          <w:color w:val="FF0000"/>
          <w:sz w:val="24"/>
          <w:szCs w:val="24"/>
        </w:rPr>
      </w:pPr>
      <w:r>
        <w:rPr>
          <w:rFonts w:eastAsia="Calibri"/>
          <w:sz w:val="24"/>
          <w:szCs w:val="24"/>
        </w:rPr>
        <w:t>2.7.3. В соответствии с пунктом 2 части 13 статьи 34 Закона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Pr>
          <w:rFonts w:eastAsia="Calibri"/>
          <w:color w:val="FF0000"/>
          <w:sz w:val="24"/>
          <w:szCs w:val="24"/>
        </w:rPr>
        <w:t xml:space="preserve"> </w:t>
      </w:r>
    </w:p>
    <w:p>
      <w:pPr>
        <w:pStyle w:val="Heading1"/>
        <w:keepNext w:val="false"/>
        <w:widowControl w:val="false"/>
        <w:numPr>
          <w:ilvl w:val="0"/>
          <w:numId w:val="0"/>
        </w:numPr>
        <w:tabs>
          <w:tab w:val="clear" w:pos="709"/>
          <w:tab w:val="left" w:pos="0" w:leader="none"/>
          <w:tab w:val="left" w:pos="567" w:leader="none"/>
        </w:tabs>
        <w:spacing w:lineRule="auto" w:line="240"/>
        <w:ind w:firstLine="567" w:left="0"/>
        <w:jc w:val="both"/>
        <w:rPr>
          <w:b w:val="false"/>
          <w:szCs w:val="24"/>
        </w:rPr>
      </w:pPr>
      <w:r>
        <w:rPr>
          <w:b w:val="false"/>
          <w:szCs w:val="24"/>
        </w:rPr>
        <w:t xml:space="preserve">2.8. Казначейское сопровождение контракта </w:t>
      </w:r>
      <w:r>
        <w:rPr>
          <w:b w:val="false"/>
          <w:bCs w:val="false"/>
          <w:sz w:val="24"/>
          <w:szCs w:val="24"/>
        </w:rPr>
        <w:t>не предусмотрено.</w:t>
      </w:r>
    </w:p>
    <w:p>
      <w:pPr>
        <w:pStyle w:val="Heading1"/>
        <w:keepNext w:val="false"/>
        <w:widowControl w:val="false"/>
        <w:numPr>
          <w:ilvl w:val="0"/>
          <w:numId w:val="0"/>
        </w:numPr>
        <w:tabs>
          <w:tab w:val="clear" w:pos="709"/>
          <w:tab w:val="left" w:pos="0" w:leader="none"/>
          <w:tab w:val="left" w:pos="567" w:leader="none"/>
        </w:tabs>
        <w:spacing w:lineRule="auto" w:line="240"/>
        <w:ind w:firstLine="567" w:left="0"/>
        <w:jc w:val="both"/>
        <w:rPr>
          <w:b w:val="false"/>
          <w:szCs w:val="24"/>
        </w:rPr>
      </w:pPr>
      <w:r>
        <w:rPr>
          <w:rFonts w:eastAsia="Calibri"/>
          <w:b w:val="false"/>
          <w:bCs w:val="false"/>
          <w:i w:val="false"/>
          <w:iCs w:val="false"/>
          <w:color w:val="000000"/>
          <w:sz w:val="24"/>
          <w:szCs w:val="24"/>
        </w:rPr>
        <w:t>2.9</w:t>
      </w:r>
      <w:r>
        <w:rPr>
          <w:rFonts w:eastAsia="Calibri"/>
          <w:b w:val="false"/>
          <w:bCs w:val="false"/>
          <w:i/>
          <w:color w:val="000000"/>
          <w:sz w:val="24"/>
          <w:szCs w:val="24"/>
        </w:rPr>
        <w:t xml:space="preserve">. </w:t>
      </w:r>
      <w:r>
        <w:rPr>
          <w:rFonts w:eastAsia="Calibri"/>
          <w:b w:val="false"/>
          <w:bCs w:val="false"/>
          <w:i w:val="false"/>
          <w:iCs w:val="false"/>
          <w:color w:val="000000"/>
          <w:sz w:val="24"/>
          <w:szCs w:val="24"/>
          <w:u w:val="none"/>
        </w:rPr>
        <w:t>Банковское сопровождение контракта не предусмотрено.</w:t>
      </w:r>
      <w:r>
        <w:rPr>
          <w:rFonts w:eastAsia="Calibri"/>
          <w:b w:val="false"/>
          <w:bCs w:val="false"/>
          <w:i/>
          <w:color w:val="FF0000"/>
          <w:sz w:val="24"/>
          <w:szCs w:val="24"/>
        </w:rPr>
        <w:t xml:space="preserve"> </w:t>
      </w:r>
    </w:p>
    <w:p>
      <w:pPr>
        <w:pStyle w:val="Heading1"/>
        <w:keepNext w:val="false"/>
        <w:widowControl w:val="false"/>
        <w:tabs>
          <w:tab w:val="clear" w:pos="709"/>
          <w:tab w:val="left" w:pos="0" w:leader="none"/>
        </w:tabs>
        <w:spacing w:lineRule="auto" w:line="240" w:before="240" w:after="0"/>
        <w:ind w:hanging="0"/>
        <w:rPr>
          <w:szCs w:val="24"/>
        </w:rPr>
      </w:pPr>
      <w:r>
        <w:rPr>
          <w:szCs w:val="24"/>
        </w:rPr>
        <w:t>Срок и порядок поставки товара, срок исполнения контракта</w:t>
      </w:r>
    </w:p>
    <w:p>
      <w:pPr>
        <w:pStyle w:val="Normal"/>
        <w:tabs>
          <w:tab w:val="left" w:pos="284" w:leader="none"/>
          <w:tab w:val="left" w:pos="709" w:leader="none"/>
        </w:tabs>
        <w:spacing w:lineRule="auto" w:line="240" w:before="120" w:after="0"/>
        <w:ind w:firstLine="567"/>
        <w:rPr>
          <w:sz w:val="24"/>
          <w:szCs w:val="24"/>
        </w:rPr>
      </w:pPr>
      <w:r>
        <w:rPr>
          <w:sz w:val="24"/>
          <w:szCs w:val="24"/>
        </w:rPr>
        <w:t>3.1. Поставка товара осу</w:t>
      </w:r>
      <w:r>
        <w:rPr>
          <w:sz w:val="24"/>
          <w:szCs w:val="24"/>
          <w:shd w:fill="auto" w:val="clear"/>
        </w:rPr>
        <w:t>ществляется в течение 10 (десяти) рабочих дней с даты</w:t>
      </w:r>
      <w:r>
        <w:rPr>
          <w:sz w:val="24"/>
          <w:szCs w:val="24"/>
        </w:rPr>
        <w:t xml:space="preserve"> заключения контракта. </w:t>
      </w:r>
    </w:p>
    <w:p>
      <w:pPr>
        <w:pStyle w:val="Normal"/>
        <w:tabs>
          <w:tab w:val="left" w:pos="284" w:leader="none"/>
          <w:tab w:val="left" w:pos="709" w:leader="none"/>
          <w:tab w:val="left" w:pos="6195" w:leader="none"/>
          <w:tab w:val="left" w:pos="9781" w:leader="none"/>
        </w:tabs>
        <w:spacing w:lineRule="auto" w:line="240" w:before="177" w:after="57"/>
        <w:ind w:firstLine="567"/>
        <w:rPr>
          <w:sz w:val="24"/>
          <w:szCs w:val="24"/>
        </w:rPr>
      </w:pPr>
      <w:r>
        <w:rPr>
          <w:sz w:val="24"/>
          <w:szCs w:val="24"/>
        </w:rPr>
        <w:t>3.2. Порядок поставки товара.</w:t>
      </w:r>
    </w:p>
    <w:p>
      <w:pPr>
        <w:pStyle w:val="Normal"/>
        <w:widowControl w:val="false"/>
        <w:tabs>
          <w:tab w:val="left" w:pos="284" w:leader="none"/>
          <w:tab w:val="left" w:pos="709" w:leader="none"/>
        </w:tabs>
        <w:spacing w:lineRule="auto" w:line="240" w:before="120" w:after="0"/>
        <w:ind w:firstLine="567"/>
        <w:rPr>
          <w:rFonts w:eastAsia="Calibri"/>
          <w:color w:val="FF0000"/>
          <w:sz w:val="24"/>
          <w:szCs w:val="24"/>
          <w:lang w:eastAsia="ar-SA"/>
        </w:rPr>
      </w:pPr>
      <w:r>
        <w:rPr>
          <w:rFonts w:eastAsia="Calibri"/>
          <w:sz w:val="24"/>
          <w:szCs w:val="24"/>
        </w:rPr>
        <w:t>3.2.1. Поставщик не менее чем за 3 рабочих дня до осуществления поставки товара уведомляет заказчика о времени и дате доставки Товара.</w:t>
      </w:r>
    </w:p>
    <w:p>
      <w:pPr>
        <w:pStyle w:val="Normal"/>
        <w:widowControl w:val="false"/>
        <w:tabs>
          <w:tab w:val="left" w:pos="284" w:leader="none"/>
          <w:tab w:val="left" w:pos="709" w:leader="none"/>
        </w:tabs>
        <w:spacing w:lineRule="auto" w:line="240" w:before="120" w:after="0"/>
        <w:ind w:firstLine="567"/>
        <w:rPr>
          <w:rFonts w:eastAsia="Calibri"/>
          <w:color w:val="FF0000"/>
          <w:sz w:val="24"/>
          <w:szCs w:val="24"/>
          <w:lang w:eastAsia="ar-SA"/>
        </w:rPr>
      </w:pPr>
      <w:r>
        <w:rPr>
          <w:rFonts w:eastAsia="Calibri"/>
          <w:sz w:val="24"/>
          <w:szCs w:val="24"/>
        </w:rPr>
        <w:t>3.2.2. Поставщик самостоятельно доставляет Товар Заказчику в рабочие дни с 9:00 до 17:30, по адресу: Владимирская область, г. Владимир, ул. Музейная, д. 3.</w:t>
      </w:r>
    </w:p>
    <w:p>
      <w:pPr>
        <w:pStyle w:val="Normal"/>
        <w:spacing w:lineRule="auto" w:line="240" w:before="120" w:after="0"/>
        <w:ind w:firstLine="567"/>
        <w:rPr>
          <w:rFonts w:eastAsia="Calibri"/>
          <w:color w:val="FF0000"/>
          <w:sz w:val="24"/>
          <w:szCs w:val="24"/>
          <w:lang w:eastAsia="ar-SA"/>
        </w:rPr>
      </w:pPr>
      <w:r>
        <w:rPr>
          <w:rFonts w:eastAsia="Calibri"/>
          <w:i w:val="false"/>
          <w:iCs w:val="false"/>
          <w:sz w:val="24"/>
          <w:szCs w:val="24"/>
          <w:lang w:eastAsia="ar-SA"/>
        </w:rPr>
        <w:t xml:space="preserve">3.3. Срок исполнения контракта установлен </w:t>
      </w:r>
      <w:r>
        <w:rPr>
          <w:rFonts w:eastAsia="Calibri"/>
          <w:i w:val="false"/>
          <w:iCs w:val="false"/>
          <w:sz w:val="24"/>
          <w:szCs w:val="24"/>
          <w:lang w:eastAsia="ar-SA"/>
        </w:rPr>
        <w:t>30</w:t>
      </w:r>
      <w:r>
        <w:rPr>
          <w:rFonts w:eastAsia="Calibri"/>
          <w:i w:val="false"/>
          <w:iCs w:val="false"/>
          <w:sz w:val="24"/>
          <w:szCs w:val="24"/>
          <w:lang w:eastAsia="ar-SA"/>
        </w:rPr>
        <w:t>.</w:t>
      </w:r>
      <w:r>
        <w:rPr>
          <w:rFonts w:eastAsia="Calibri"/>
          <w:i w:val="false"/>
          <w:iCs w:val="false"/>
          <w:sz w:val="24"/>
          <w:szCs w:val="24"/>
          <w:lang w:eastAsia="ar-SA"/>
        </w:rPr>
        <w:t>11</w:t>
      </w:r>
      <w:r>
        <w:rPr>
          <w:rFonts w:eastAsia="Calibri"/>
          <w:i w:val="false"/>
          <w:iCs w:val="false"/>
          <w:sz w:val="24"/>
          <w:szCs w:val="24"/>
          <w:lang w:eastAsia="ar-SA"/>
        </w:rPr>
        <w:t xml:space="preserve">.2026 и </w:t>
      </w:r>
      <w:r>
        <w:rPr>
          <w:rFonts w:eastAsia="Calibri"/>
          <w:i w:val="false"/>
          <w:iCs w:val="false"/>
          <w:sz w:val="24"/>
          <w:szCs w:val="24"/>
        </w:rPr>
        <w:t>включает срок поставки товара поставщиком в полном объеме, срок приемки (с оформлением документа о приемке) и оплаты заказчиком такого товара.</w:t>
      </w:r>
      <w:r>
        <w:rPr>
          <w:rFonts w:eastAsia="Calibri"/>
          <w:i/>
          <w:color w:val="FF0000"/>
          <w:sz w:val="24"/>
          <w:szCs w:val="24"/>
          <w:lang w:eastAsia="ar-SA"/>
        </w:rPr>
        <w:t xml:space="preserve"> </w:t>
      </w:r>
    </w:p>
    <w:p>
      <w:pPr>
        <w:pStyle w:val="Heading1"/>
        <w:keepNext w:val="false"/>
        <w:widowControl w:val="false"/>
        <w:tabs>
          <w:tab w:val="clear" w:pos="709"/>
          <w:tab w:val="left" w:pos="0" w:leader="none"/>
        </w:tabs>
        <w:spacing w:lineRule="auto" w:line="240" w:before="240" w:after="0"/>
        <w:ind w:hanging="0"/>
        <w:rPr>
          <w:szCs w:val="24"/>
        </w:rPr>
      </w:pPr>
      <w:r>
        <w:rPr>
          <w:szCs w:val="24"/>
        </w:rPr>
        <w:t>Права и обязанности сторон</w:t>
      </w:r>
    </w:p>
    <w:p>
      <w:pPr>
        <w:pStyle w:val="Heading1"/>
        <w:keepNext w:val="false"/>
        <w:widowControl w:val="false"/>
        <w:numPr>
          <w:ilvl w:val="0"/>
          <w:numId w:val="0"/>
        </w:numPr>
        <w:tabs>
          <w:tab w:val="clear" w:pos="709"/>
          <w:tab w:val="left" w:pos="0" w:leader="none"/>
        </w:tabs>
        <w:spacing w:lineRule="auto" w:line="240"/>
        <w:ind w:firstLine="567" w:left="0"/>
        <w:jc w:val="both"/>
        <w:rPr>
          <w:b w:val="false"/>
          <w:szCs w:val="24"/>
        </w:rPr>
      </w:pPr>
      <w:r>
        <w:rPr>
          <w:b w:val="false"/>
          <w:szCs w:val="24"/>
        </w:rPr>
        <w:t>4.1. Поставщик обязан:</w:t>
      </w:r>
    </w:p>
    <w:p>
      <w:pPr>
        <w:pStyle w:val="Normal"/>
        <w:suppressAutoHyphens w:val="true"/>
        <w:spacing w:lineRule="auto" w:line="240" w:before="120" w:after="0"/>
        <w:ind w:firstLine="567"/>
        <w:rPr>
          <w:i/>
          <w:sz w:val="24"/>
          <w:szCs w:val="24"/>
        </w:rPr>
      </w:pPr>
      <w:r>
        <w:rPr>
          <w:sz w:val="24"/>
          <w:szCs w:val="24"/>
        </w:rPr>
        <w:t xml:space="preserve">4.1.1. </w:t>
      </w:r>
      <w:r>
        <w:rPr>
          <w:b w:val="false"/>
          <w:bCs w:val="false"/>
          <w:i w:val="false"/>
          <w:iCs w:val="false"/>
          <w:color w:val="000000"/>
          <w:sz w:val="24"/>
          <w:szCs w:val="24"/>
          <w:shd w:fill="FFFFFF" w:val="clear"/>
        </w:rPr>
        <w:t>Поставить Товар в порядке, в количестве, в срок и на условиях, предусмотренных Контрактом.</w:t>
      </w:r>
    </w:p>
    <w:p>
      <w:pPr>
        <w:pStyle w:val="Normal"/>
        <w:suppressAutoHyphens w:val="true"/>
        <w:spacing w:lineRule="auto" w:line="240" w:before="120" w:after="0"/>
        <w:ind w:firstLine="567"/>
        <w:rPr>
          <w:i/>
          <w:sz w:val="24"/>
          <w:szCs w:val="24"/>
        </w:rPr>
      </w:pPr>
      <w:r>
        <w:rPr>
          <w:b w:val="false"/>
          <w:bCs w:val="false"/>
          <w:i w:val="false"/>
          <w:iCs w:val="false"/>
          <w:color w:val="000000"/>
          <w:sz w:val="24"/>
          <w:szCs w:val="24"/>
          <w:shd w:fill="FFFFFF" w:val="clear"/>
        </w:rPr>
        <w:t>4.1.2. Обеспечить соответствие поставляемого Товара требованиям качества, безопасности жизни и здоровья, а также иным требованиям безопасности, сертификации, лицензирования, установленным законодательством Российской Федерации и Контрактом.</w:t>
      </w:r>
    </w:p>
    <w:p>
      <w:pPr>
        <w:pStyle w:val="Normal"/>
        <w:suppressAutoHyphens w:val="true"/>
        <w:spacing w:lineRule="auto" w:line="240" w:before="120" w:after="0"/>
        <w:ind w:firstLine="567"/>
        <w:rPr>
          <w:i/>
          <w:sz w:val="24"/>
          <w:szCs w:val="24"/>
        </w:rPr>
      </w:pPr>
      <w:r>
        <w:rPr>
          <w:b w:val="false"/>
          <w:bCs w:val="false"/>
          <w:i w:val="false"/>
          <w:iCs w:val="false"/>
          <w:color w:val="000000"/>
          <w:sz w:val="24"/>
          <w:szCs w:val="24"/>
          <w:shd w:fill="FFFFFF" w:val="clear"/>
        </w:rPr>
        <w:t>4.1.3. Предоставлять Заказчику по его требованию документы, относящиеся к предмету Контракта,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в течени</w:t>
      </w:r>
      <w:r>
        <w:rPr>
          <w:b w:val="false"/>
          <w:bCs w:val="false"/>
          <w:i w:val="false"/>
          <w:iCs w:val="false"/>
          <w:color w:val="000000"/>
          <w:sz w:val="24"/>
          <w:szCs w:val="24"/>
          <w:shd w:fill="auto" w:val="clear"/>
        </w:rPr>
        <w:t>е 10 (десяти) рабочих дней с момента заключения контракта поставщик обязан предоставить заказчику результаты поставки това</w:t>
      </w:r>
      <w:r>
        <w:rPr>
          <w:b w:val="false"/>
          <w:bCs w:val="false"/>
          <w:i w:val="false"/>
          <w:iCs w:val="false"/>
          <w:color w:val="000000"/>
          <w:sz w:val="24"/>
          <w:szCs w:val="24"/>
          <w:shd w:fill="FFFFFF" w:val="clear"/>
        </w:rPr>
        <w:t>ра, предусмотренные контрактом.</w:t>
      </w:r>
    </w:p>
    <w:p>
      <w:pPr>
        <w:pStyle w:val="Normal"/>
        <w:widowControl w:val="false"/>
        <w:spacing w:lineRule="auto" w:line="240" w:before="120" w:after="0"/>
        <w:ind w:firstLine="567"/>
        <w:rPr>
          <w:sz w:val="24"/>
          <w:szCs w:val="24"/>
          <w:lang w:eastAsia="ar-SA"/>
        </w:rPr>
      </w:pPr>
      <w:r>
        <w:rPr>
          <w:sz w:val="24"/>
          <w:szCs w:val="24"/>
          <w:shd w:fill="auto" w:val="clear"/>
          <w:lang w:eastAsia="ar-SA"/>
        </w:rPr>
        <w:t xml:space="preserve">В течение 24 часов с момента выявления обстоятельств, влекущих риски неисполнения в срок обязательств, в письменном виде сообщить заказчику посредством электронной почты, </w:t>
      </w:r>
      <w:r>
        <w:rPr>
          <w:i w:val="false"/>
          <w:iCs w:val="false"/>
          <w:sz w:val="24"/>
          <w:szCs w:val="24"/>
          <w:shd w:fill="auto" w:val="clear"/>
          <w:lang w:eastAsia="ar-SA"/>
        </w:rPr>
        <w:t xml:space="preserve">указанной в разделе 11 настоящего контракта, </w:t>
      </w:r>
      <w:r>
        <w:rPr>
          <w:sz w:val="24"/>
          <w:szCs w:val="24"/>
          <w:shd w:fill="auto" w:val="clear"/>
          <w:lang w:eastAsia="ar-SA"/>
        </w:rPr>
        <w:t>причин</w:t>
      </w:r>
      <w:r>
        <w:rPr>
          <w:sz w:val="24"/>
          <w:szCs w:val="24"/>
          <w:lang w:eastAsia="ar-SA"/>
        </w:rPr>
        <w:t xml:space="preserve">у возникновения таких обстоятельств и сроки их устранения. </w:t>
      </w:r>
    </w:p>
    <w:p>
      <w:pPr>
        <w:pStyle w:val="Normal"/>
        <w:widowControl w:val="false"/>
        <w:spacing w:lineRule="auto" w:line="240" w:before="120" w:after="0"/>
        <w:ind w:firstLine="567"/>
        <w:rPr>
          <w:sz w:val="24"/>
          <w:szCs w:val="24"/>
          <w:lang w:eastAsia="ar-SA"/>
        </w:rPr>
      </w:pPr>
      <w:r>
        <w:rPr>
          <w:sz w:val="24"/>
          <w:szCs w:val="24"/>
          <w:lang w:eastAsia="ar-SA"/>
        </w:rPr>
        <w:t>4.1.4.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3 (трех) рабочих дней с момента уведомления Заказчиком Поставщика.</w:t>
      </w:r>
    </w:p>
    <w:p>
      <w:pPr>
        <w:pStyle w:val="ConsPlusNormal1"/>
        <w:spacing w:before="220" w:after="0"/>
        <w:ind w:firstLine="540"/>
        <w:jc w:val="both"/>
        <w:rPr>
          <w:sz w:val="24"/>
          <w:szCs w:val="24"/>
        </w:rPr>
      </w:pPr>
      <w:r>
        <w:rPr>
          <w:sz w:val="24"/>
          <w:szCs w:val="24"/>
        </w:rPr>
        <w:t>4.1.5. В случае принятия решения об одностороннем отказе от исполнения Контракта не позднее чем в течение 3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w:t>
      </w:r>
    </w:p>
    <w:p>
      <w:pPr>
        <w:pStyle w:val="Heading1"/>
        <w:keepNext w:val="false"/>
        <w:widowControl w:val="false"/>
        <w:numPr>
          <w:ilvl w:val="0"/>
          <w:numId w:val="0"/>
        </w:numPr>
        <w:tabs>
          <w:tab w:val="clear" w:pos="709"/>
          <w:tab w:val="left" w:pos="0" w:leader="none"/>
        </w:tabs>
        <w:spacing w:lineRule="auto" w:line="240"/>
        <w:ind w:firstLine="567" w:left="0"/>
        <w:jc w:val="both"/>
        <w:rPr>
          <w:b w:val="false"/>
          <w:szCs w:val="24"/>
        </w:rPr>
      </w:pPr>
      <w:r>
        <w:rPr>
          <w:b w:val="false"/>
          <w:szCs w:val="24"/>
        </w:rPr>
        <w:t>4.2. Поставщик вправе:</w:t>
      </w:r>
    </w:p>
    <w:p>
      <w:pPr>
        <w:pStyle w:val="Normal"/>
        <w:widowControl w:val="false"/>
        <w:tabs>
          <w:tab w:val="left" w:pos="284" w:leader="none"/>
          <w:tab w:val="left" w:pos="709" w:leader="none"/>
          <w:tab w:val="left" w:pos="1560" w:leader="none"/>
        </w:tabs>
        <w:spacing w:lineRule="auto" w:line="240" w:before="120" w:after="0"/>
        <w:ind w:firstLine="567"/>
        <w:rPr>
          <w:sz w:val="24"/>
          <w:szCs w:val="24"/>
        </w:rPr>
      </w:pPr>
      <w:r>
        <w:rPr>
          <w:sz w:val="24"/>
          <w:szCs w:val="24"/>
        </w:rPr>
        <w:t>4.2.1. Требовать от заказчика надлежащего исполнения обязательств в соответствии с условиями контракта.</w:t>
      </w:r>
    </w:p>
    <w:p>
      <w:pPr>
        <w:pStyle w:val="Normal"/>
        <w:widowControl w:val="false"/>
        <w:tabs>
          <w:tab w:val="left" w:pos="284" w:leader="none"/>
          <w:tab w:val="left" w:pos="709" w:leader="none"/>
          <w:tab w:val="left" w:pos="1560" w:leader="none"/>
        </w:tabs>
        <w:spacing w:lineRule="auto" w:line="240" w:before="120" w:after="0"/>
        <w:ind w:firstLine="567"/>
        <w:rPr>
          <w:bCs/>
          <w:sz w:val="24"/>
          <w:szCs w:val="24"/>
        </w:rPr>
      </w:pPr>
      <w:r>
        <w:rPr>
          <w:bCs/>
          <w:sz w:val="24"/>
          <w:szCs w:val="24"/>
        </w:rPr>
        <w:t>4.2.2. Запрашивать у заказчика информацию, необходимую для надлежащего исполнения обязательств.</w:t>
      </w:r>
    </w:p>
    <w:p>
      <w:pPr>
        <w:pStyle w:val="Normal"/>
        <w:widowControl w:val="false"/>
        <w:tabs>
          <w:tab w:val="left" w:pos="284" w:leader="none"/>
          <w:tab w:val="left" w:pos="709" w:leader="none"/>
          <w:tab w:val="left" w:pos="1560" w:leader="none"/>
        </w:tabs>
        <w:spacing w:lineRule="auto" w:line="240" w:before="120" w:after="0"/>
        <w:ind w:firstLine="567"/>
        <w:rPr>
          <w:sz w:val="24"/>
          <w:szCs w:val="24"/>
        </w:rPr>
      </w:pPr>
      <w:r>
        <w:rPr>
          <w:sz w:val="24"/>
          <w:szCs w:val="24"/>
        </w:rPr>
        <w:t xml:space="preserve">4.2.3. Потребовать уплаты неустоек (штрафов, пеней)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p>
    <w:p>
      <w:pPr>
        <w:pStyle w:val="Normal"/>
        <w:widowControl w:val="false"/>
        <w:tabs>
          <w:tab w:val="left" w:pos="284" w:leader="none"/>
          <w:tab w:val="left" w:pos="709" w:leader="none"/>
          <w:tab w:val="left" w:pos="1560" w:leader="none"/>
        </w:tabs>
        <w:spacing w:lineRule="auto" w:line="240" w:before="120" w:after="0"/>
        <w:ind w:firstLine="567"/>
        <w:rPr>
          <w:b w:val="false"/>
          <w:bCs w:val="false"/>
          <w:color w:val="000000"/>
          <w:highlight w:val="none"/>
          <w:shd w:fill="auto" w:val="clear"/>
        </w:rPr>
      </w:pPr>
      <w:r>
        <w:rPr>
          <w:rFonts w:eastAsia="Calibri"/>
          <w:b w:val="false"/>
          <w:bCs w:val="false"/>
          <w:color w:val="000000"/>
          <w:sz w:val="24"/>
          <w:szCs w:val="24"/>
          <w:shd w:fill="auto" w:val="clear"/>
        </w:rPr>
        <w:t>4.2.4. Принять решение об одностороннем отказе от исполнения Контракта в соответствии с Гражданским законодательством.</w:t>
      </w:r>
    </w:p>
    <w:p>
      <w:pPr>
        <w:pStyle w:val="Normal"/>
        <w:widowControl w:val="false"/>
        <w:tabs>
          <w:tab w:val="left" w:pos="284" w:leader="none"/>
          <w:tab w:val="left" w:pos="709" w:leader="none"/>
          <w:tab w:val="left" w:pos="1560" w:leader="none"/>
        </w:tabs>
        <w:spacing w:lineRule="auto" w:line="240" w:before="120" w:after="0"/>
        <w:ind w:firstLine="567"/>
        <w:rPr>
          <w:b w:val="false"/>
          <w:bCs w:val="false"/>
          <w:color w:val="000000"/>
          <w:highlight w:val="none"/>
          <w:shd w:fill="auto" w:val="clear"/>
        </w:rPr>
      </w:pPr>
      <w:r>
        <w:rPr>
          <w:rFonts w:eastAsia="Calibri"/>
          <w:b w:val="false"/>
          <w:bCs w:val="false"/>
          <w:color w:val="000000"/>
          <w:sz w:val="24"/>
          <w:szCs w:val="24"/>
          <w:shd w:fill="auto" w:val="clear"/>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частью 6 статьи 14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w:t>
      </w:r>
    </w:p>
    <w:p>
      <w:pPr>
        <w:pStyle w:val="Heading1"/>
        <w:keepNext w:val="false"/>
        <w:widowControl w:val="false"/>
        <w:numPr>
          <w:ilvl w:val="0"/>
          <w:numId w:val="0"/>
        </w:numPr>
        <w:tabs>
          <w:tab w:val="clear" w:pos="709"/>
          <w:tab w:val="left" w:pos="0" w:leader="none"/>
        </w:tabs>
        <w:spacing w:lineRule="auto" w:line="240"/>
        <w:ind w:firstLine="567" w:left="0"/>
        <w:jc w:val="both"/>
        <w:rPr>
          <w:b w:val="false"/>
          <w:szCs w:val="24"/>
        </w:rPr>
      </w:pPr>
      <w:r>
        <w:rPr>
          <w:b w:val="false"/>
          <w:szCs w:val="24"/>
        </w:rPr>
        <w:t>4.3. Заказчик обязан:</w:t>
      </w:r>
    </w:p>
    <w:p>
      <w:pPr>
        <w:pStyle w:val="Normal"/>
        <w:widowControl w:val="false"/>
        <w:tabs>
          <w:tab w:val="left" w:pos="0" w:leader="none"/>
          <w:tab w:val="left" w:pos="284" w:leader="none"/>
          <w:tab w:val="left" w:pos="709" w:leader="none"/>
        </w:tabs>
        <w:spacing w:lineRule="auto" w:line="240" w:before="120" w:after="0"/>
        <w:ind w:firstLine="567"/>
        <w:rPr>
          <w:bCs/>
          <w:color w:val="FF0000"/>
          <w:sz w:val="24"/>
          <w:szCs w:val="24"/>
        </w:rPr>
      </w:pPr>
      <w:bookmarkStart w:id="4" w:name="_Hlk33600165"/>
      <w:r>
        <w:rPr>
          <w:sz w:val="24"/>
          <w:szCs w:val="24"/>
        </w:rPr>
        <w:t xml:space="preserve">4.3.1. </w:t>
      </w:r>
      <w:bookmarkEnd w:id="4"/>
      <w:r>
        <w:rPr>
          <w:sz w:val="24"/>
          <w:szCs w:val="24"/>
        </w:rPr>
        <w:t xml:space="preserve">Обеспечить приемку поставленного товара в соответствии с со статьей 94 Закона. </w:t>
      </w:r>
    </w:p>
    <w:p>
      <w:pPr>
        <w:pStyle w:val="Normal"/>
        <w:widowControl w:val="false"/>
        <w:tabs>
          <w:tab w:val="left" w:pos="0" w:leader="none"/>
          <w:tab w:val="left" w:pos="284" w:leader="none"/>
          <w:tab w:val="left" w:pos="709" w:leader="none"/>
        </w:tabs>
        <w:spacing w:lineRule="auto" w:line="240" w:before="120" w:after="0"/>
        <w:ind w:firstLine="567"/>
        <w:rPr>
          <w:sz w:val="24"/>
          <w:szCs w:val="24"/>
        </w:rPr>
      </w:pPr>
      <w:r>
        <w:rPr>
          <w:bCs/>
          <w:sz w:val="24"/>
          <w:szCs w:val="24"/>
        </w:rPr>
        <w:t xml:space="preserve">4.3.2. Провести экспертизу для проверки предоставленных поставщиком результатов, предусмотренных контрактом, в части их соответствия условиям контракта. </w:t>
      </w:r>
    </w:p>
    <w:p>
      <w:pPr>
        <w:pStyle w:val="Normal"/>
        <w:widowControl w:val="false"/>
        <w:tabs>
          <w:tab w:val="left" w:pos="0" w:leader="none"/>
          <w:tab w:val="left" w:pos="284" w:leader="none"/>
          <w:tab w:val="left" w:pos="709" w:leader="none"/>
        </w:tabs>
        <w:spacing w:lineRule="auto" w:line="240" w:before="120" w:after="0"/>
        <w:ind w:firstLine="567"/>
        <w:rPr>
          <w:sz w:val="24"/>
          <w:szCs w:val="24"/>
        </w:rPr>
      </w:pPr>
      <w:r>
        <w:rPr>
          <w:sz w:val="24"/>
          <w:szCs w:val="24"/>
        </w:rPr>
        <w:t>4.3.3. Оплачивать результаты поставки товара по контракту в соответствии с разделом 2 настоящего контракта.</w:t>
      </w:r>
    </w:p>
    <w:p>
      <w:pPr>
        <w:pStyle w:val="Normal"/>
        <w:widowControl w:val="false"/>
        <w:tabs>
          <w:tab w:val="left" w:pos="0" w:leader="none"/>
          <w:tab w:val="left" w:pos="284" w:leader="none"/>
          <w:tab w:val="left" w:pos="709" w:leader="none"/>
        </w:tabs>
        <w:spacing w:lineRule="auto" w:line="240" w:before="120" w:after="0"/>
        <w:ind w:firstLine="567"/>
        <w:rPr>
          <w:color w:val="FF0000"/>
          <w:sz w:val="24"/>
          <w:szCs w:val="24"/>
        </w:rPr>
      </w:pPr>
      <w:r>
        <w:rPr>
          <w:sz w:val="24"/>
          <w:szCs w:val="24"/>
        </w:rPr>
        <w:t xml:space="preserve">4.3.4.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направить поставщику требование об уплате неустоек (штрафов, пеней). </w:t>
      </w:r>
    </w:p>
    <w:p>
      <w:pPr>
        <w:pStyle w:val="Normal"/>
        <w:widowControl w:val="false"/>
        <w:tabs>
          <w:tab w:val="left" w:pos="0" w:leader="none"/>
          <w:tab w:val="left" w:pos="284" w:leader="none"/>
          <w:tab w:val="left" w:pos="709" w:leader="none"/>
        </w:tabs>
        <w:spacing w:lineRule="auto" w:line="240" w:before="120" w:after="0"/>
        <w:ind w:firstLine="567"/>
        <w:rPr>
          <w:sz w:val="24"/>
          <w:szCs w:val="24"/>
        </w:rPr>
      </w:pPr>
      <w:r>
        <w:rPr>
          <w:sz w:val="24"/>
          <w:szCs w:val="24"/>
        </w:rPr>
        <w:t>4.3.5. Принять решение об одностороннем отказе от исполнения контракта в случаях, предусмотренных частью 15 статьи 95 Закона.</w:t>
      </w:r>
    </w:p>
    <w:p>
      <w:pPr>
        <w:pStyle w:val="Normal"/>
        <w:widowControl w:val="false"/>
        <w:tabs>
          <w:tab w:val="left" w:pos="0" w:leader="none"/>
          <w:tab w:val="left" w:pos="284" w:leader="none"/>
          <w:tab w:val="left" w:pos="709" w:leader="none"/>
        </w:tabs>
        <w:spacing w:lineRule="auto" w:line="240" w:before="120" w:after="0"/>
        <w:ind w:firstLine="567"/>
        <w:rPr>
          <w:sz w:val="24"/>
          <w:szCs w:val="24"/>
        </w:rPr>
      </w:pPr>
      <w:r>
        <w:rPr>
          <w:b w:val="false"/>
          <w:bCs w:val="false"/>
          <w:color w:val="000000"/>
          <w:sz w:val="24"/>
          <w:szCs w:val="24"/>
          <w:shd w:fill="auto" w:val="clear"/>
        </w:rPr>
        <w:t>В случае принятия решения об одностороннем отказе от исполнения Контракта не позднее чем в течение 3 (трех) рабочих дней с даты принятия указанного решения направить его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p>
    <w:p>
      <w:pPr>
        <w:pStyle w:val="Normal"/>
        <w:widowControl w:val="false"/>
        <w:tabs>
          <w:tab w:val="left" w:pos="0" w:leader="none"/>
          <w:tab w:val="left" w:pos="284" w:leader="none"/>
          <w:tab w:val="left" w:pos="709" w:leader="none"/>
        </w:tabs>
        <w:spacing w:lineRule="auto" w:line="240" w:before="120" w:after="0"/>
        <w:ind w:firstLine="567"/>
        <w:rPr>
          <w:color w:val="FF0000"/>
          <w:sz w:val="24"/>
          <w:szCs w:val="24"/>
        </w:rPr>
      </w:pPr>
      <w:r>
        <w:rPr>
          <w:sz w:val="24"/>
          <w:szCs w:val="24"/>
        </w:rPr>
        <w:t xml:space="preserve">4.3.6.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Закона.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pPr>
        <w:pStyle w:val="Normal"/>
        <w:widowControl w:val="false"/>
        <w:tabs>
          <w:tab w:val="left" w:pos="0" w:leader="none"/>
          <w:tab w:val="left" w:pos="284" w:leader="none"/>
          <w:tab w:val="left" w:pos="709" w:leader="none"/>
        </w:tabs>
        <w:spacing w:lineRule="auto" w:line="240" w:before="120" w:after="0"/>
        <w:ind w:firstLine="567"/>
        <w:rPr>
          <w:sz w:val="24"/>
          <w:szCs w:val="24"/>
        </w:rPr>
      </w:pPr>
      <w:r>
        <w:rPr>
          <w:sz w:val="24"/>
          <w:szCs w:val="24"/>
        </w:rPr>
        <w:t>4.3.7.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pPr>
        <w:pStyle w:val="Heading1"/>
        <w:keepNext w:val="false"/>
        <w:widowControl w:val="false"/>
        <w:numPr>
          <w:ilvl w:val="0"/>
          <w:numId w:val="0"/>
        </w:numPr>
        <w:tabs>
          <w:tab w:val="clear" w:pos="709"/>
          <w:tab w:val="left" w:pos="0" w:leader="none"/>
        </w:tabs>
        <w:spacing w:lineRule="auto" w:line="240"/>
        <w:ind w:firstLine="567" w:left="0"/>
        <w:jc w:val="both"/>
        <w:rPr>
          <w:b w:val="false"/>
          <w:bCs w:val="false"/>
          <w:szCs w:val="24"/>
        </w:rPr>
      </w:pPr>
      <w:r>
        <w:rPr>
          <w:b w:val="false"/>
          <w:szCs w:val="24"/>
        </w:rPr>
        <w:t>4.4. Заказчик вправе:</w:t>
      </w:r>
    </w:p>
    <w:p>
      <w:pPr>
        <w:pStyle w:val="Normal"/>
        <w:widowControl w:val="false"/>
        <w:tabs>
          <w:tab w:val="left" w:pos="0" w:leader="none"/>
          <w:tab w:val="left" w:pos="284" w:leader="none"/>
          <w:tab w:val="left" w:pos="709" w:leader="none"/>
          <w:tab w:val="left" w:pos="1134" w:leader="none"/>
        </w:tabs>
        <w:spacing w:lineRule="auto" w:line="240" w:before="120" w:after="0"/>
        <w:ind w:firstLine="567"/>
        <w:rPr>
          <w:sz w:val="24"/>
          <w:szCs w:val="24"/>
        </w:rPr>
      </w:pPr>
      <w:r>
        <w:rPr>
          <w:sz w:val="24"/>
          <w:szCs w:val="24"/>
        </w:rPr>
        <w:t>4.4.1. Требовать от Поставщика надлежащего исполнения обязательств по Контракту.</w:t>
      </w:r>
    </w:p>
    <w:p>
      <w:pPr>
        <w:pStyle w:val="Normal"/>
        <w:widowControl w:val="false"/>
        <w:tabs>
          <w:tab w:val="left" w:pos="0" w:leader="none"/>
          <w:tab w:val="left" w:pos="284" w:leader="none"/>
          <w:tab w:val="left" w:pos="709" w:leader="none"/>
          <w:tab w:val="left" w:pos="1134" w:leader="none"/>
        </w:tabs>
        <w:spacing w:lineRule="auto" w:line="240" w:before="120" w:after="0"/>
        <w:ind w:firstLine="567"/>
        <w:rPr>
          <w:sz w:val="24"/>
          <w:szCs w:val="24"/>
        </w:rPr>
      </w:pPr>
      <w:bookmarkStart w:id="5" w:name="_Hlk33879323"/>
      <w:bookmarkEnd w:id="5"/>
      <w:r>
        <w:rPr>
          <w:sz w:val="24"/>
          <w:szCs w:val="24"/>
        </w:rPr>
        <w:t xml:space="preserve">4.4.2. Осуществлять контроль </w:t>
      </w:r>
      <w:r>
        <w:rPr>
          <w:b/>
          <w:sz w:val="24"/>
          <w:szCs w:val="24"/>
        </w:rPr>
        <w:t>за</w:t>
      </w:r>
      <w:r>
        <w:rPr>
          <w:sz w:val="24"/>
          <w:szCs w:val="24"/>
        </w:rPr>
        <w:t xml:space="preserve"> ходом и качеством поставки товара, над соблюдением сроков поставки товара и соответствием установленной контрактом стоимости, не вмешиваясь при этом в оперативно-хозяйственную деятельность поставщика.</w:t>
      </w:r>
    </w:p>
    <w:p>
      <w:pPr>
        <w:pStyle w:val="Normal"/>
        <w:widowControl w:val="false"/>
        <w:tabs>
          <w:tab w:val="left" w:pos="0" w:leader="none"/>
          <w:tab w:val="left" w:pos="284" w:leader="none"/>
          <w:tab w:val="left" w:pos="709" w:leader="none"/>
          <w:tab w:val="left" w:pos="1134" w:leader="none"/>
        </w:tabs>
        <w:spacing w:lineRule="auto" w:line="240" w:before="120" w:after="0"/>
        <w:ind w:firstLine="567"/>
        <w:rPr>
          <w:sz w:val="24"/>
          <w:szCs w:val="24"/>
        </w:rPr>
      </w:pPr>
      <w:r>
        <w:rPr>
          <w:sz w:val="24"/>
          <w:szCs w:val="24"/>
        </w:rPr>
        <w:t>4.4.3.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pPr>
        <w:pStyle w:val="Normal"/>
        <w:widowControl w:val="false"/>
        <w:tabs>
          <w:tab w:val="left" w:pos="0" w:leader="none"/>
          <w:tab w:val="left" w:pos="284" w:leader="none"/>
          <w:tab w:val="left" w:pos="709" w:leader="none"/>
          <w:tab w:val="left" w:pos="1134" w:leader="none"/>
        </w:tabs>
        <w:spacing w:lineRule="auto" w:line="240" w:before="120" w:after="0"/>
        <w:ind w:firstLine="567"/>
        <w:rPr>
          <w:sz w:val="24"/>
          <w:szCs w:val="24"/>
        </w:rPr>
      </w:pPr>
      <w:r>
        <w:rPr>
          <w:sz w:val="24"/>
          <w:szCs w:val="24"/>
        </w:rPr>
        <w:t>4.4.4. Требовать от Поставщика своевременного устранения недостатков, выявленных как в ходе приемки, так и в течение гарантийного периода.</w:t>
      </w:r>
    </w:p>
    <w:p>
      <w:pPr>
        <w:pStyle w:val="Normal"/>
        <w:widowControl w:val="false"/>
        <w:tabs>
          <w:tab w:val="left" w:pos="0" w:leader="none"/>
          <w:tab w:val="left" w:pos="284" w:leader="none"/>
          <w:tab w:val="left" w:pos="709" w:leader="none"/>
          <w:tab w:val="left" w:pos="1134" w:leader="none"/>
        </w:tabs>
        <w:spacing w:lineRule="auto" w:line="240" w:before="120" w:after="0"/>
        <w:ind w:firstLine="567"/>
        <w:rPr>
          <w:sz w:val="24"/>
          <w:szCs w:val="24"/>
        </w:rPr>
      </w:pPr>
      <w:r>
        <w:rPr>
          <w:sz w:val="24"/>
          <w:szCs w:val="24"/>
        </w:rPr>
        <w:t>4.4.5. Принять решение об одностороннем отказе от исполнения контракта по основаниям, предусмотренным частью 9 статьи 95 Закона, Гражданским кодексом Российской Федерации.</w:t>
      </w:r>
    </w:p>
    <w:p>
      <w:pPr>
        <w:pStyle w:val="Normal"/>
        <w:widowControl w:val="false"/>
        <w:tabs>
          <w:tab w:val="left" w:pos="0" w:leader="none"/>
          <w:tab w:val="left" w:pos="284" w:leader="none"/>
          <w:tab w:val="left" w:pos="709" w:leader="none"/>
          <w:tab w:val="left" w:pos="1134" w:leader="none"/>
        </w:tabs>
        <w:spacing w:lineRule="auto" w:line="240" w:before="120" w:after="0"/>
        <w:ind w:firstLine="567"/>
        <w:rPr>
          <w:bCs/>
          <w:color w:val="FF0000"/>
          <w:sz w:val="24"/>
          <w:szCs w:val="24"/>
        </w:rPr>
      </w:pPr>
      <w:r>
        <w:rPr>
          <w:sz w:val="24"/>
          <w:szCs w:val="24"/>
        </w:rPr>
        <w:t>4.4.</w:t>
      </w:r>
      <w:r>
        <w:rPr>
          <w:color w:val="7030A0"/>
          <w:sz w:val="24"/>
          <w:szCs w:val="24"/>
        </w:rPr>
        <w:t>6</w:t>
      </w:r>
      <w:r>
        <w:rPr>
          <w:sz w:val="24"/>
          <w:szCs w:val="24"/>
        </w:rPr>
        <w:t xml:space="preserve">.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 </w:t>
      </w:r>
    </w:p>
    <w:p>
      <w:pPr>
        <w:pStyle w:val="ConsPlusNormal1"/>
        <w:spacing w:before="220" w:after="0"/>
        <w:ind w:firstLine="540"/>
        <w:jc w:val="both"/>
        <w:rPr>
          <w:i w:val="false"/>
          <w:iCs w:val="false"/>
        </w:rPr>
      </w:pPr>
      <w:r>
        <w:rPr>
          <w:rFonts w:eastAsia="Calibri"/>
          <w:b w:val="false"/>
          <w:bCs/>
          <w:i w:val="false"/>
          <w:iCs w:val="false"/>
          <w:sz w:val="24"/>
          <w:szCs w:val="24"/>
        </w:rPr>
        <w:t>4.4.</w:t>
      </w:r>
      <w:r>
        <w:rPr>
          <w:rFonts w:eastAsia="Calibri"/>
          <w:b w:val="false"/>
          <w:bCs/>
          <w:i w:val="false"/>
          <w:iCs w:val="false"/>
          <w:color w:val="7030A0"/>
          <w:sz w:val="24"/>
          <w:szCs w:val="24"/>
        </w:rPr>
        <w:t>7</w:t>
      </w:r>
      <w:r>
        <w:rPr>
          <w:rFonts w:eastAsia="Calibri"/>
          <w:b w:val="false"/>
          <w:bCs/>
          <w:i w:val="false"/>
          <w:iCs w:val="false"/>
          <w:sz w:val="24"/>
          <w:szCs w:val="24"/>
        </w:rPr>
        <w:t>. Не отказывать в приемке результатов отдельного этапа исполнения контракта либо поставленного товара в случае выявления несоответствия товара условиям</w:t>
      </w:r>
      <w:r>
        <w:rPr>
          <w:rFonts w:eastAsia="Calibri"/>
          <w:b w:val="false"/>
          <w:bCs/>
          <w:i w:val="false"/>
          <w:iCs w:val="false"/>
          <w:color w:val="7030A0"/>
          <w:sz w:val="24"/>
          <w:szCs w:val="24"/>
        </w:rPr>
        <w:t xml:space="preserve"> </w:t>
      </w:r>
      <w:r>
        <w:rPr>
          <w:rFonts w:eastAsia="Calibri"/>
          <w:b w:val="false"/>
          <w:bCs/>
          <w:i w:val="false"/>
          <w:iCs w:val="false"/>
          <w:sz w:val="24"/>
          <w:szCs w:val="24"/>
        </w:rPr>
        <w:t>контракта, если выявленное несоответствие не препятствует приемке этих результатов либо этого товара, и устранено поставщиком.</w:t>
      </w:r>
    </w:p>
    <w:p>
      <w:pPr>
        <w:pStyle w:val="Heading1"/>
        <w:keepNext w:val="false"/>
        <w:widowControl w:val="false"/>
        <w:tabs>
          <w:tab w:val="clear" w:pos="709"/>
          <w:tab w:val="left" w:pos="0" w:leader="none"/>
        </w:tabs>
        <w:spacing w:lineRule="auto" w:line="240" w:before="240" w:after="0"/>
        <w:ind w:hanging="0"/>
        <w:rPr>
          <w:szCs w:val="24"/>
        </w:rPr>
      </w:pPr>
      <w:bookmarkStart w:id="6" w:name="_Hlk13065375"/>
      <w:bookmarkStart w:id="7" w:name="OLE_LINK8"/>
      <w:bookmarkStart w:id="8" w:name="OLE_LINK7"/>
      <w:bookmarkStart w:id="9" w:name="OLE_LINK6"/>
      <w:r>
        <w:rPr>
          <w:szCs w:val="24"/>
        </w:rPr>
        <w:t>Порядок и срок приемки товара</w:t>
      </w:r>
      <w:r>
        <w:rPr>
          <w:color w:val="FF0000"/>
          <w:szCs w:val="24"/>
        </w:rPr>
        <w:t xml:space="preserve"> </w:t>
      </w:r>
      <w:bookmarkEnd w:id="7"/>
      <w:bookmarkEnd w:id="8"/>
      <w:bookmarkEnd w:id="9"/>
    </w:p>
    <w:p>
      <w:pPr>
        <w:pStyle w:val="Normal"/>
        <w:widowControl w:val="false"/>
        <w:tabs>
          <w:tab w:val="left" w:pos="142" w:leader="none"/>
          <w:tab w:val="left" w:pos="284" w:leader="none"/>
          <w:tab w:val="left" w:pos="709" w:leader="none"/>
          <w:tab w:val="left" w:pos="993" w:leader="none"/>
        </w:tabs>
        <w:spacing w:lineRule="auto" w:line="240" w:before="120" w:after="0"/>
        <w:ind w:firstLine="567"/>
        <w:rPr>
          <w:bCs/>
          <w:sz w:val="24"/>
          <w:szCs w:val="24"/>
        </w:rPr>
      </w:pPr>
      <w:r>
        <w:rPr>
          <w:sz w:val="24"/>
          <w:szCs w:val="24"/>
        </w:rPr>
        <w:t xml:space="preserve">5.1. </w:t>
      </w:r>
      <w:r>
        <w:rPr>
          <w:bCs/>
          <w:sz w:val="24"/>
          <w:szCs w:val="24"/>
        </w:rPr>
        <w:t>Приемка товара, осуществляется на основании первичных учетных документов, подтверждающих поставку товара, составленных после поставки товара.</w:t>
      </w:r>
    </w:p>
    <w:p>
      <w:pPr>
        <w:pStyle w:val="Normal"/>
        <w:widowControl w:val="false"/>
        <w:tabs>
          <w:tab w:val="left" w:pos="142" w:leader="none"/>
          <w:tab w:val="left" w:pos="284" w:leader="none"/>
          <w:tab w:val="left" w:pos="709" w:leader="none"/>
          <w:tab w:val="left" w:pos="993" w:leader="none"/>
        </w:tabs>
        <w:spacing w:lineRule="auto" w:line="240" w:before="120" w:after="0"/>
        <w:ind w:firstLine="567"/>
        <w:rPr>
          <w:bCs/>
          <w:sz w:val="24"/>
          <w:szCs w:val="24"/>
        </w:rPr>
      </w:pPr>
      <w:r>
        <w:rPr>
          <w:bCs/>
          <w:sz w:val="24"/>
          <w:szCs w:val="24"/>
        </w:rPr>
        <w:t>5.1.1. Срок приемки товара: равен сроку подписания заказчиком (приемочной комиссией) документа о приемке.</w:t>
      </w:r>
    </w:p>
    <w:p>
      <w:pPr>
        <w:pStyle w:val="Heading2"/>
        <w:numPr>
          <w:ilvl w:val="0"/>
          <w:numId w:val="0"/>
        </w:numPr>
        <w:spacing w:lineRule="auto" w:line="240"/>
        <w:ind w:firstLine="567" w:left="0"/>
        <w:rPr>
          <w:bCs w:val="false"/>
          <w:sz w:val="24"/>
          <w:szCs w:val="24"/>
        </w:rPr>
      </w:pPr>
      <w:r>
        <w:rPr>
          <w:sz w:val="24"/>
          <w:szCs w:val="24"/>
        </w:rPr>
        <w:t xml:space="preserve">5.1.2. Приемка товара по качеству и количеству должна осуществляться в соответствии с требованиями </w:t>
      </w:r>
      <w:r>
        <w:rPr>
          <w:spacing w:val="-3"/>
          <w:sz w:val="24"/>
          <w:szCs w:val="24"/>
        </w:rPr>
        <w:t xml:space="preserve">ГК РФ </w:t>
      </w:r>
      <w:r>
        <w:rPr>
          <w:sz w:val="24"/>
          <w:szCs w:val="24"/>
        </w:rPr>
        <w:t>и условиями настоящего контракта.</w:t>
      </w:r>
      <w:r>
        <w:rPr>
          <w:bCs w:val="false"/>
          <w:sz w:val="24"/>
          <w:szCs w:val="24"/>
        </w:rPr>
        <w:t xml:space="preserve"> </w:t>
      </w:r>
    </w:p>
    <w:p>
      <w:pPr>
        <w:pStyle w:val="Normal"/>
        <w:widowControl w:val="false"/>
        <w:tabs>
          <w:tab w:val="left" w:pos="142" w:leader="none"/>
          <w:tab w:val="left" w:pos="284" w:leader="none"/>
          <w:tab w:val="left" w:pos="709" w:leader="none"/>
          <w:tab w:val="left" w:pos="993" w:leader="none"/>
        </w:tabs>
        <w:spacing w:lineRule="auto" w:line="240" w:before="120" w:after="0"/>
        <w:ind w:firstLine="567"/>
        <w:rPr>
          <w:bCs/>
          <w:sz w:val="24"/>
          <w:szCs w:val="24"/>
        </w:rPr>
      </w:pPr>
      <w:r>
        <w:rPr>
          <w:bCs/>
          <w:sz w:val="24"/>
          <w:szCs w:val="24"/>
        </w:rPr>
        <w:t>5.2.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w:t>
      </w:r>
    </w:p>
    <w:p>
      <w:pPr>
        <w:pStyle w:val="Normal"/>
        <w:widowControl w:val="false"/>
        <w:tabs>
          <w:tab w:val="left" w:pos="142" w:leader="none"/>
          <w:tab w:val="left" w:pos="284" w:leader="none"/>
          <w:tab w:val="left" w:pos="709" w:leader="none"/>
          <w:tab w:val="left" w:pos="993" w:leader="none"/>
        </w:tabs>
        <w:spacing w:lineRule="auto" w:line="240" w:before="120" w:after="0"/>
        <w:ind w:firstLine="567"/>
        <w:rPr>
          <w:bCs/>
          <w:sz w:val="24"/>
          <w:szCs w:val="24"/>
        </w:rPr>
      </w:pPr>
      <w:r>
        <w:rPr>
          <w:bCs/>
          <w:sz w:val="24"/>
          <w:szCs w:val="24"/>
        </w:rPr>
        <w:t>5.2.1 Подписанный документ о приемке является подтверждением факта проведения экспертизы со стороны Заказчика.</w:t>
      </w:r>
    </w:p>
    <w:p>
      <w:pPr>
        <w:pStyle w:val="Normal"/>
        <w:widowControl w:val="false"/>
        <w:tabs>
          <w:tab w:val="left" w:pos="142" w:leader="none"/>
          <w:tab w:val="left" w:pos="284" w:leader="none"/>
          <w:tab w:val="left" w:pos="709" w:leader="none"/>
          <w:tab w:val="left" w:pos="993" w:leader="none"/>
        </w:tabs>
        <w:spacing w:lineRule="auto" w:line="240" w:before="120" w:after="0"/>
        <w:ind w:firstLine="567"/>
        <w:rPr>
          <w:bCs/>
          <w:sz w:val="24"/>
          <w:szCs w:val="24"/>
        </w:rPr>
      </w:pPr>
      <w:r>
        <w:rPr>
          <w:bCs/>
          <w:sz w:val="24"/>
          <w:szCs w:val="24"/>
        </w:rPr>
        <w:t>5.3.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pPr>
        <w:pStyle w:val="Normal"/>
        <w:widowControl w:val="false"/>
        <w:tabs>
          <w:tab w:val="left" w:pos="142" w:leader="none"/>
          <w:tab w:val="left" w:pos="284" w:leader="none"/>
          <w:tab w:val="left" w:pos="709" w:leader="none"/>
          <w:tab w:val="left" w:pos="993" w:leader="none"/>
        </w:tabs>
        <w:spacing w:lineRule="auto" w:line="240" w:before="120" w:after="0"/>
        <w:ind w:firstLine="567"/>
        <w:rPr>
          <w:bCs/>
          <w:color w:val="FF0000"/>
          <w:sz w:val="24"/>
          <w:szCs w:val="24"/>
        </w:rPr>
      </w:pPr>
      <w:r>
        <w:rPr>
          <w:bCs/>
          <w:sz w:val="24"/>
          <w:szCs w:val="24"/>
        </w:rPr>
        <w:t>По решению заказчика для приемки поставленного товара, выполненной работы или оказанной услуги, результатов отдельного этапа исполнения контракта может создаваться приемочная комиссия, которая состоит не менее чем из пяти человек. Приемочная комиссия правомочна осуществлять свои функции, если в заседании приемочной комиссии участвует не менее чем пятьдесят процентов общего числа ее членов. Полномочия члена приемочной комиссии не могут быть переданы другому лицу.</w:t>
      </w:r>
      <w:r>
        <w:rPr>
          <w:bCs/>
          <w:color w:val="FF0000"/>
          <w:sz w:val="24"/>
          <w:szCs w:val="24"/>
        </w:rPr>
        <w:t xml:space="preserve"> </w:t>
      </w:r>
    </w:p>
    <w:p>
      <w:pPr>
        <w:pStyle w:val="Normal"/>
        <w:widowControl w:val="false"/>
        <w:tabs>
          <w:tab w:val="left" w:pos="142" w:leader="none"/>
          <w:tab w:val="left" w:pos="284" w:leader="none"/>
          <w:tab w:val="left" w:pos="709" w:leader="none"/>
          <w:tab w:val="left" w:pos="993" w:leader="none"/>
        </w:tabs>
        <w:spacing w:lineRule="auto" w:line="240" w:before="120" w:after="0"/>
        <w:ind w:firstLine="567"/>
        <w:rPr>
          <w:bCs/>
          <w:color w:val="FF0000"/>
          <w:sz w:val="24"/>
          <w:szCs w:val="24"/>
        </w:rPr>
      </w:pPr>
      <w:r>
        <w:rPr>
          <w:bCs/>
          <w:sz w:val="24"/>
          <w:szCs w:val="24"/>
        </w:rPr>
        <w:t xml:space="preserve">5.4. Поставщик в день поставки передает заказчику подписанный со своей стороны документ о приемке. </w:t>
      </w:r>
    </w:p>
    <w:p>
      <w:pPr>
        <w:pStyle w:val="Normal"/>
        <w:widowControl w:val="false"/>
        <w:tabs>
          <w:tab w:val="left" w:pos="142" w:leader="none"/>
          <w:tab w:val="left" w:pos="284" w:leader="none"/>
          <w:tab w:val="left" w:pos="709" w:leader="none"/>
          <w:tab w:val="left" w:pos="993" w:leader="none"/>
        </w:tabs>
        <w:spacing w:lineRule="auto" w:line="240" w:before="120" w:after="0"/>
        <w:ind w:firstLine="567"/>
        <w:rPr>
          <w:bCs/>
          <w:sz w:val="24"/>
          <w:szCs w:val="24"/>
        </w:rPr>
      </w:pPr>
      <w:r>
        <w:rPr>
          <w:bCs/>
          <w:sz w:val="24"/>
          <w:szCs w:val="24"/>
        </w:rPr>
        <w:t>5.5. При приемке Товара ответственное лицо Заказчика:</w:t>
      </w:r>
    </w:p>
    <w:p>
      <w:pPr>
        <w:pStyle w:val="Normal"/>
        <w:widowControl w:val="false"/>
        <w:tabs>
          <w:tab w:val="left" w:pos="142" w:leader="none"/>
          <w:tab w:val="left" w:pos="284" w:leader="none"/>
          <w:tab w:val="left" w:pos="709" w:leader="none"/>
          <w:tab w:val="left" w:pos="993" w:leader="none"/>
        </w:tabs>
        <w:spacing w:lineRule="auto" w:line="240" w:before="120" w:after="0"/>
        <w:ind w:firstLine="567"/>
        <w:rPr>
          <w:bCs/>
          <w:sz w:val="24"/>
          <w:szCs w:val="24"/>
        </w:rPr>
      </w:pPr>
      <w:r>
        <w:rPr>
          <w:bCs/>
          <w:sz w:val="24"/>
          <w:szCs w:val="24"/>
        </w:rPr>
        <w:t>5.5.1. Проверяет соответствие поставленного товара по объему и качеству требованиям, установленным настоящим Контрактом</w:t>
      </w:r>
    </w:p>
    <w:p>
      <w:pPr>
        <w:pStyle w:val="Normal"/>
        <w:widowControl w:val="false"/>
        <w:tabs>
          <w:tab w:val="left" w:pos="142" w:leader="none"/>
          <w:tab w:val="left" w:pos="284" w:leader="none"/>
          <w:tab w:val="left" w:pos="709" w:leader="none"/>
          <w:tab w:val="left" w:pos="993" w:leader="none"/>
        </w:tabs>
        <w:spacing w:lineRule="auto" w:line="240" w:before="120" w:after="0"/>
        <w:ind w:firstLine="567"/>
        <w:rPr>
          <w:bCs/>
          <w:sz w:val="24"/>
          <w:szCs w:val="24"/>
        </w:rPr>
      </w:pPr>
      <w:r>
        <w:rPr>
          <w:bCs/>
          <w:sz w:val="24"/>
          <w:szCs w:val="24"/>
        </w:rPr>
        <w:t>5.5.2. Проводит анализ отчетных документов и материалов, представленных Поставщиком на предмет соответствия их оформления требованиям законодательства Российской Федерации и условиям настоящего Контракта, проверяет комплектность и количество экземпляров представленной документации;</w:t>
      </w:r>
    </w:p>
    <w:p>
      <w:pPr>
        <w:pStyle w:val="Normal"/>
        <w:widowControl w:val="false"/>
        <w:tabs>
          <w:tab w:val="left" w:pos="142" w:leader="none"/>
          <w:tab w:val="left" w:pos="284" w:leader="none"/>
          <w:tab w:val="left" w:pos="709" w:leader="none"/>
          <w:tab w:val="left" w:pos="993" w:leader="none"/>
        </w:tabs>
        <w:spacing w:lineRule="auto" w:line="240" w:before="120" w:after="0"/>
        <w:ind w:firstLine="567"/>
        <w:rPr>
          <w:bCs/>
          <w:sz w:val="24"/>
          <w:szCs w:val="24"/>
        </w:rPr>
      </w:pPr>
      <w:r>
        <w:rPr>
          <w:bCs/>
          <w:sz w:val="24"/>
          <w:szCs w:val="24"/>
        </w:rPr>
        <w:t>5.5.3. При необходимости запрашивает от Поставщика недостающие документы и материалы, а также получает разъяснения по представленным документам и материалам;</w:t>
      </w:r>
    </w:p>
    <w:p>
      <w:pPr>
        <w:pStyle w:val="Normal"/>
        <w:widowControl w:val="false"/>
        <w:tabs>
          <w:tab w:val="left" w:pos="142" w:leader="none"/>
          <w:tab w:val="left" w:pos="284" w:leader="none"/>
          <w:tab w:val="left" w:pos="709" w:leader="none"/>
          <w:tab w:val="left" w:pos="993" w:leader="none"/>
        </w:tabs>
        <w:spacing w:lineRule="auto" w:line="240" w:before="120" w:after="0"/>
        <w:ind w:firstLine="567"/>
        <w:rPr>
          <w:bCs/>
          <w:sz w:val="24"/>
          <w:szCs w:val="24"/>
        </w:rPr>
      </w:pPr>
      <w:r>
        <w:rPr>
          <w:bCs/>
          <w:sz w:val="24"/>
          <w:szCs w:val="24"/>
        </w:rPr>
        <w:t>5.5.4. Осуществляет иные действия для всесторонней оценки (проверки) соответствия поставленного Товара условиям Контракта и требованиям законодательства Российской Федерации.</w:t>
      </w:r>
    </w:p>
    <w:p>
      <w:pPr>
        <w:pStyle w:val="Normal"/>
        <w:widowControl w:val="false"/>
        <w:tabs>
          <w:tab w:val="left" w:pos="142" w:leader="none"/>
          <w:tab w:val="left" w:pos="284" w:leader="none"/>
          <w:tab w:val="left" w:pos="709" w:leader="none"/>
          <w:tab w:val="left" w:pos="993" w:leader="none"/>
        </w:tabs>
        <w:spacing w:lineRule="auto" w:line="240" w:before="120" w:after="0"/>
        <w:ind w:firstLine="567"/>
        <w:rPr>
          <w:bCs/>
          <w:sz w:val="24"/>
          <w:szCs w:val="24"/>
        </w:rPr>
      </w:pPr>
      <w:r>
        <w:rPr>
          <w:bCs/>
          <w:sz w:val="24"/>
          <w:szCs w:val="24"/>
        </w:rPr>
        <w:t xml:space="preserve">5.6. Заказчик в срок не позднее 5 рабочих дней, следующих за днем поступления документа о приемке подписывает документ о приемке или формирует мотивированный отказ от подписания документа о приемке с указанием причин такого отказа. </w:t>
      </w:r>
    </w:p>
    <w:p>
      <w:pPr>
        <w:pStyle w:val="Normal"/>
        <w:widowControl w:val="false"/>
        <w:tabs>
          <w:tab w:val="left" w:pos="142" w:leader="none"/>
          <w:tab w:val="left" w:pos="284" w:leader="none"/>
          <w:tab w:val="left" w:pos="709" w:leader="none"/>
          <w:tab w:val="left" w:pos="993" w:leader="none"/>
        </w:tabs>
        <w:spacing w:lineRule="auto" w:line="240" w:before="120" w:after="0"/>
        <w:ind w:firstLine="567"/>
        <w:rPr>
          <w:bCs/>
          <w:sz w:val="24"/>
          <w:szCs w:val="24"/>
        </w:rPr>
      </w:pPr>
      <w:r>
        <w:rPr>
          <w:bCs/>
          <w:sz w:val="24"/>
          <w:szCs w:val="24"/>
        </w:rPr>
        <w:t>5.7.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предоставить Заказчику документ о приемке.</w:t>
      </w:r>
    </w:p>
    <w:p>
      <w:pPr>
        <w:pStyle w:val="Normal"/>
        <w:widowControl w:val="false"/>
        <w:tabs>
          <w:tab w:val="left" w:pos="142" w:leader="none"/>
          <w:tab w:val="left" w:pos="284" w:leader="none"/>
          <w:tab w:val="left" w:pos="709" w:leader="none"/>
          <w:tab w:val="left" w:pos="993" w:leader="none"/>
        </w:tabs>
        <w:spacing w:lineRule="auto" w:line="240" w:before="120" w:after="0"/>
        <w:ind w:firstLine="567"/>
        <w:rPr>
          <w:bCs/>
          <w:sz w:val="24"/>
          <w:szCs w:val="24"/>
        </w:rPr>
      </w:pPr>
      <w:r>
        <w:rPr>
          <w:bCs/>
          <w:sz w:val="24"/>
          <w:szCs w:val="24"/>
        </w:rPr>
        <w:t>5.8.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pPr>
        <w:pStyle w:val="Normal"/>
        <w:widowControl w:val="false"/>
        <w:tabs>
          <w:tab w:val="left" w:pos="142" w:leader="none"/>
          <w:tab w:val="left" w:pos="284" w:leader="none"/>
          <w:tab w:val="left" w:pos="709" w:leader="none"/>
          <w:tab w:val="left" w:pos="993" w:leader="none"/>
        </w:tabs>
        <w:spacing w:lineRule="auto" w:line="240" w:before="120" w:after="0"/>
        <w:ind w:firstLine="567"/>
        <w:rPr>
          <w:bCs/>
          <w:sz w:val="24"/>
          <w:szCs w:val="24"/>
        </w:rPr>
      </w:pPr>
      <w:r>
        <w:rPr>
          <w:bCs/>
          <w:sz w:val="24"/>
          <w:szCs w:val="24"/>
        </w:rPr>
        <w:t>5.9. Датой приемки поставленного товара</w:t>
      </w:r>
      <w:r>
        <w:rPr>
          <w:bCs/>
          <w:i/>
          <w:sz w:val="24"/>
          <w:szCs w:val="24"/>
        </w:rPr>
        <w:t xml:space="preserve"> </w:t>
      </w:r>
      <w:r>
        <w:rPr>
          <w:bCs/>
          <w:sz w:val="24"/>
          <w:szCs w:val="24"/>
        </w:rPr>
        <w:t>считается дата подписания документа о приемке Заказчиком.</w:t>
      </w:r>
      <w:bookmarkStart w:id="10" w:name="_Hlk13065375_Копия_1"/>
      <w:bookmarkEnd w:id="6"/>
      <w:bookmarkEnd w:id="10"/>
    </w:p>
    <w:p>
      <w:pPr>
        <w:pStyle w:val="Heading1"/>
        <w:keepNext w:val="false"/>
        <w:widowControl w:val="false"/>
        <w:tabs>
          <w:tab w:val="clear" w:pos="709"/>
          <w:tab w:val="left" w:pos="0" w:leader="none"/>
        </w:tabs>
        <w:spacing w:lineRule="auto" w:line="240" w:before="240" w:after="0"/>
        <w:ind w:hanging="0"/>
        <w:rPr>
          <w:szCs w:val="24"/>
        </w:rPr>
      </w:pPr>
      <w:r>
        <w:rPr>
          <w:szCs w:val="24"/>
        </w:rPr>
        <w:t>Гарантийные обязательства</w:t>
      </w:r>
    </w:p>
    <w:p>
      <w:pPr>
        <w:pStyle w:val="Normal"/>
        <w:spacing w:lineRule="auto" w:line="240" w:before="120" w:after="0"/>
        <w:ind w:firstLine="539"/>
        <w:rPr>
          <w:bCs/>
          <w:sz w:val="24"/>
          <w:szCs w:val="24"/>
        </w:rPr>
      </w:pPr>
      <w:r>
        <w:rPr>
          <w:bCs/>
          <w:sz w:val="24"/>
          <w:szCs w:val="24"/>
        </w:rPr>
        <w:t>6.1. Поставщик гарантирует, что поставляемый Товар является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pPr>
        <w:pStyle w:val="Normal"/>
        <w:spacing w:lineRule="auto" w:line="240" w:before="120" w:after="0"/>
        <w:ind w:firstLine="539"/>
        <w:rPr>
          <w:bCs/>
          <w:sz w:val="24"/>
          <w:szCs w:val="24"/>
        </w:rPr>
      </w:pPr>
      <w:r>
        <w:rPr>
          <w:bCs/>
          <w:sz w:val="24"/>
          <w:szCs w:val="24"/>
        </w:rPr>
        <w:t>6.2.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Поставляемый Товар должен соответствовать действующим в Российской Федерации стандартам, техническим регламентам, санитарным нормам.</w:t>
      </w:r>
    </w:p>
    <w:p>
      <w:pPr>
        <w:pStyle w:val="Normal"/>
        <w:spacing w:lineRule="auto" w:line="240" w:before="120" w:after="0"/>
        <w:ind w:firstLine="539"/>
        <w:rPr>
          <w:bCs/>
          <w:sz w:val="24"/>
          <w:szCs w:val="24"/>
        </w:rPr>
      </w:pPr>
      <w:r>
        <w:rPr>
          <w:bCs/>
          <w:sz w:val="24"/>
          <w:szCs w:val="24"/>
        </w:rPr>
        <w:t>6.3. Товар должен быть упакован и замаркирован в соответствии с действующими стандартами.</w:t>
      </w:r>
    </w:p>
    <w:p>
      <w:pPr>
        <w:pStyle w:val="Normal"/>
        <w:spacing w:lineRule="auto" w:line="240" w:before="120" w:after="0"/>
        <w:ind w:firstLine="539"/>
        <w:rPr/>
      </w:pPr>
      <w:r>
        <w:rPr>
          <w:bCs/>
          <w:i w:val="false"/>
          <w:iCs w:val="false"/>
          <w:sz w:val="24"/>
          <w:szCs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pPr>
        <w:pStyle w:val="Heading1"/>
        <w:keepNext w:val="false"/>
        <w:widowControl w:val="false"/>
        <w:tabs>
          <w:tab w:val="clear" w:pos="709"/>
          <w:tab w:val="left" w:pos="0" w:leader="none"/>
        </w:tabs>
        <w:bidi w:val="0"/>
        <w:spacing w:lineRule="auto" w:line="240" w:before="240" w:after="0"/>
        <w:ind w:hanging="0" w:left="0"/>
        <w:rPr>
          <w:rFonts w:ascii="Times New Roman" w:hAnsi="Times New Roman" w:eastAsia="Times New Roman"/>
          <w:szCs w:val="24"/>
        </w:rPr>
      </w:pPr>
      <w:bookmarkStart w:id="11" w:name="_ref_22563524"/>
      <w:bookmarkEnd w:id="11"/>
      <w:r>
        <w:rPr>
          <w:rFonts w:eastAsia="Times New Roman"/>
          <w:szCs w:val="24"/>
        </w:rPr>
        <w:t>Ответственность сторон</w:t>
      </w:r>
    </w:p>
    <w:p>
      <w:pPr>
        <w:pStyle w:val="Normal"/>
        <w:spacing w:lineRule="auto" w:line="240" w:before="120" w:after="0"/>
        <w:ind w:firstLine="567"/>
        <w:rPr>
          <w:bCs/>
          <w:sz w:val="24"/>
          <w:szCs w:val="24"/>
        </w:rPr>
      </w:pPr>
      <w:r>
        <w:rPr>
          <w:bCs/>
          <w:sz w:val="24"/>
          <w:szCs w:val="24"/>
        </w:rPr>
        <w:t>7.1. Стороны несут ответственность за неисполнение или ненадлежащее исполнение контракта в соответствии с законодательством Российской Федерации и условиями контракта.</w:t>
      </w:r>
    </w:p>
    <w:p>
      <w:pPr>
        <w:pStyle w:val="Normal"/>
        <w:spacing w:lineRule="auto" w:line="240" w:before="120" w:after="0"/>
        <w:ind w:firstLine="567"/>
        <w:rPr>
          <w:bCs/>
          <w:sz w:val="24"/>
          <w:szCs w:val="24"/>
        </w:rPr>
      </w:pPr>
      <w:r>
        <w:rPr>
          <w:bCs/>
          <w:sz w:val="24"/>
          <w:szCs w:val="24"/>
        </w:rPr>
        <w:t>7.2. В случае неисполнения поставщиком условий контракта заказчик вправе обратиться в суд с требованием о расторжении контракта.</w:t>
      </w:r>
    </w:p>
    <w:p>
      <w:pPr>
        <w:pStyle w:val="Normal"/>
        <w:spacing w:lineRule="auto" w:line="240" w:before="120" w:after="0"/>
        <w:ind w:firstLine="567"/>
        <w:rPr>
          <w:bCs/>
          <w:sz w:val="24"/>
          <w:szCs w:val="24"/>
        </w:rPr>
      </w:pPr>
      <w:r>
        <w:rPr>
          <w:bCs/>
          <w:sz w:val="24"/>
          <w:szCs w:val="24"/>
        </w:rPr>
        <w:t>7.3. В случае полного (частичного) неисполнения условий контракта одной из сторон эта сторона обязана возместить другой стороне причиненные убытки.</w:t>
      </w:r>
    </w:p>
    <w:p>
      <w:pPr>
        <w:pStyle w:val="Normal"/>
        <w:spacing w:lineRule="auto" w:line="240" w:before="120" w:after="0"/>
        <w:ind w:firstLine="567"/>
        <w:rPr>
          <w:bCs/>
          <w:sz w:val="24"/>
          <w:szCs w:val="24"/>
        </w:rPr>
      </w:pPr>
      <w:r>
        <w:rPr>
          <w:bCs/>
          <w:sz w:val="24"/>
          <w:szCs w:val="24"/>
        </w:rPr>
        <w:t>7.4.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pPr>
        <w:pStyle w:val="Normal"/>
        <w:spacing w:lineRule="auto" w:line="240" w:before="120" w:after="0"/>
        <w:ind w:firstLine="567"/>
        <w:rPr>
          <w:bCs/>
          <w:sz w:val="24"/>
          <w:szCs w:val="24"/>
        </w:rPr>
      </w:pPr>
      <w:r>
        <w:rPr>
          <w:bCs/>
          <w:sz w:val="24"/>
          <w:szCs w:val="24"/>
        </w:rPr>
        <w:t>7.5. Ответственность заказчика: (ч. 5 ст. 34 Закона)</w:t>
      </w:r>
    </w:p>
    <w:p>
      <w:pPr>
        <w:pStyle w:val="Normal"/>
        <w:spacing w:lineRule="auto" w:line="240" w:before="120" w:after="0"/>
        <w:ind w:firstLine="567"/>
        <w:rPr>
          <w:bCs/>
          <w:sz w:val="24"/>
          <w:szCs w:val="24"/>
        </w:rPr>
      </w:pPr>
      <w:r>
        <w:rPr>
          <w:bCs/>
          <w:sz w:val="24"/>
          <w:szCs w:val="24"/>
        </w:rPr>
        <w:t xml:space="preserve">7.5.1.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pPr>
        <w:pStyle w:val="Normal"/>
        <w:spacing w:lineRule="auto" w:line="240" w:before="120" w:after="0"/>
        <w:ind w:firstLine="567"/>
        <w:rPr>
          <w:bCs/>
          <w:sz w:val="24"/>
          <w:szCs w:val="24"/>
        </w:rPr>
      </w:pPr>
      <w:r>
        <w:rPr>
          <w:bCs/>
          <w:sz w:val="24"/>
          <w:szCs w:val="24"/>
        </w:rPr>
        <w:t>7.5.2.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pPr>
        <w:pStyle w:val="Normal"/>
        <w:spacing w:lineRule="auto" w:line="240" w:before="120" w:after="0"/>
        <w:ind w:firstLine="567"/>
        <w:rPr>
          <w:bCs/>
          <w:sz w:val="24"/>
          <w:szCs w:val="24"/>
        </w:rPr>
      </w:pPr>
      <w:r>
        <w:rPr>
          <w:bCs/>
          <w:sz w:val="24"/>
          <w:szCs w:val="24"/>
        </w:rPr>
        <w:t xml:space="preserve">7.5.3.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pPr>
        <w:pStyle w:val="Normal"/>
        <w:spacing w:lineRule="auto" w:line="240" w:before="120" w:after="0"/>
        <w:ind w:firstLine="567"/>
        <w:rPr>
          <w:bCs/>
          <w:sz w:val="24"/>
          <w:szCs w:val="24"/>
        </w:rPr>
      </w:pPr>
      <w:r>
        <w:rPr>
          <w:bCs/>
          <w:sz w:val="24"/>
          <w:szCs w:val="24"/>
        </w:rPr>
        <w:t>7.5.3.1.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порядке, установленном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и составляет:</w:t>
      </w:r>
    </w:p>
    <w:p>
      <w:pPr>
        <w:pStyle w:val="Normal"/>
        <w:spacing w:lineRule="auto" w:line="240" w:before="120" w:after="0"/>
        <w:ind w:firstLine="567"/>
        <w:rPr>
          <w:bCs/>
          <w:sz w:val="24"/>
          <w:szCs w:val="24"/>
        </w:rPr>
      </w:pPr>
      <w:r>
        <w:rPr>
          <w:bCs/>
          <w:sz w:val="24"/>
          <w:szCs w:val="24"/>
        </w:rPr>
        <w:t>а) 1000 рублей, если цена контракта не превышает 3 млн. рублей (включительно);</w:t>
      </w:r>
    </w:p>
    <w:p>
      <w:pPr>
        <w:pStyle w:val="Normal"/>
        <w:spacing w:lineRule="auto" w:line="240" w:before="120" w:after="0"/>
        <w:ind w:firstLine="567"/>
        <w:rPr>
          <w:bCs/>
          <w:sz w:val="24"/>
          <w:szCs w:val="24"/>
        </w:rPr>
      </w:pPr>
      <w:r>
        <w:rPr>
          <w:bCs/>
          <w:sz w:val="24"/>
          <w:szCs w:val="24"/>
        </w:rPr>
        <w:t>б) 5000 рублей, если цена контракта составляет от 3 млн. рублей до 50 млн. рублей (включительно);</w:t>
      </w:r>
    </w:p>
    <w:p>
      <w:pPr>
        <w:pStyle w:val="Normal"/>
        <w:spacing w:lineRule="auto" w:line="240" w:before="120" w:after="0"/>
        <w:ind w:firstLine="567"/>
        <w:rPr>
          <w:bCs/>
          <w:sz w:val="24"/>
          <w:szCs w:val="24"/>
        </w:rPr>
      </w:pPr>
      <w:r>
        <w:rPr>
          <w:bCs/>
          <w:sz w:val="24"/>
          <w:szCs w:val="24"/>
        </w:rPr>
        <w:t>в) 10000 рублей, если цена контракта составляет от 50 млн. рублей до 100 млн. рублей (включительно);</w:t>
      </w:r>
    </w:p>
    <w:p>
      <w:pPr>
        <w:pStyle w:val="Normal"/>
        <w:spacing w:lineRule="auto" w:line="240" w:before="120" w:after="0"/>
        <w:ind w:firstLine="567"/>
        <w:rPr>
          <w:bCs/>
          <w:sz w:val="24"/>
          <w:szCs w:val="24"/>
        </w:rPr>
      </w:pPr>
      <w:r>
        <w:rPr>
          <w:bCs/>
          <w:sz w:val="24"/>
          <w:szCs w:val="24"/>
        </w:rPr>
        <w:t>г) 100000 рублей, если цена контракта превышает 100 млн. рублей.</w:t>
      </w:r>
    </w:p>
    <w:p>
      <w:pPr>
        <w:pStyle w:val="Normal"/>
        <w:spacing w:lineRule="auto" w:line="240" w:before="120" w:after="0"/>
        <w:ind w:firstLine="567"/>
        <w:rPr>
          <w:bCs/>
          <w:sz w:val="24"/>
          <w:szCs w:val="24"/>
        </w:rPr>
      </w:pPr>
      <w:r>
        <w:rPr>
          <w:bCs/>
          <w:sz w:val="24"/>
          <w:szCs w:val="24"/>
        </w:rPr>
        <w:t>7.5.3.2. Общая сумма начисленных штрафов за ненадлежащее исполнение заказчиком обязательств, предусмотренных контрактом, не может превышать цену контракта. (п.12 Правил)</w:t>
      </w:r>
    </w:p>
    <w:p>
      <w:pPr>
        <w:pStyle w:val="Normal"/>
        <w:spacing w:lineRule="auto" w:line="240" w:before="120" w:after="0"/>
        <w:ind w:firstLine="567"/>
        <w:rPr>
          <w:bCs/>
          <w:sz w:val="24"/>
          <w:szCs w:val="24"/>
        </w:rPr>
      </w:pPr>
      <w:r>
        <w:rPr>
          <w:bCs/>
          <w:sz w:val="24"/>
          <w:szCs w:val="24"/>
        </w:rPr>
        <w:t>7.5.4. Заказчик производит оплату неустоек (штрафов, пеней) в порядке и сроки, указанные в письменном требовании поставщика. Срок оплаты неустоек (штрафов, пеней), указанный в письменном требовании поставщика,</w:t>
      </w:r>
      <w:r>
        <w:rPr>
          <w:b w:val="false"/>
          <w:bCs w:val="false"/>
          <w:color w:val="000000"/>
          <w:sz w:val="24"/>
          <w:szCs w:val="24"/>
          <w:shd w:fill="auto" w:val="clear"/>
        </w:rPr>
        <w:t xml:space="preserve"> не может быть менее 10 (десяти) рабочих дней с даты предъявления требования об их уплате.</w:t>
      </w:r>
    </w:p>
    <w:p>
      <w:pPr>
        <w:pStyle w:val="Normal"/>
        <w:spacing w:lineRule="auto" w:line="240" w:before="120" w:after="0"/>
        <w:ind w:firstLine="567"/>
        <w:rPr>
          <w:bCs/>
          <w:sz w:val="24"/>
          <w:szCs w:val="24"/>
        </w:rPr>
      </w:pPr>
      <w:r>
        <w:rPr>
          <w:bCs/>
          <w:sz w:val="24"/>
          <w:szCs w:val="24"/>
        </w:rPr>
        <w:t>7.6. Ответственность поставщика:</w:t>
      </w:r>
    </w:p>
    <w:p>
      <w:pPr>
        <w:pStyle w:val="Normal"/>
        <w:spacing w:lineRule="auto" w:line="240" w:before="120" w:after="0"/>
        <w:ind w:firstLine="567"/>
        <w:rPr>
          <w:bCs/>
          <w:sz w:val="24"/>
          <w:szCs w:val="24"/>
        </w:rPr>
      </w:pPr>
      <w:r>
        <w:rPr>
          <w:bCs/>
          <w:sz w:val="24"/>
          <w:szCs w:val="24"/>
        </w:rPr>
        <w:t>7.6.1.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pPr>
        <w:pStyle w:val="Normal"/>
        <w:spacing w:lineRule="auto" w:line="240" w:before="120" w:after="0"/>
        <w:ind w:firstLine="567"/>
        <w:rPr>
          <w:bCs/>
          <w:sz w:val="24"/>
          <w:szCs w:val="24"/>
        </w:rPr>
      </w:pPr>
      <w:r>
        <w:rPr>
          <w:bCs/>
          <w:sz w:val="24"/>
          <w:szCs w:val="24"/>
        </w:rPr>
        <w:t>7.6.2.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pPr>
        <w:pStyle w:val="Normal"/>
        <w:spacing w:lineRule="auto" w:line="240" w:before="120" w:after="0"/>
        <w:ind w:firstLine="567"/>
        <w:rPr>
          <w:bCs/>
          <w:sz w:val="24"/>
          <w:szCs w:val="24"/>
        </w:rPr>
      </w:pPr>
      <w:r>
        <w:rPr>
          <w:bCs/>
          <w:sz w:val="24"/>
          <w:szCs w:val="24"/>
        </w:rPr>
        <w:t>7.6.3.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(п.1 Правил)</w:t>
      </w:r>
    </w:p>
    <w:p>
      <w:pPr>
        <w:pStyle w:val="Normal"/>
        <w:spacing w:lineRule="auto" w:line="240" w:before="120" w:after="0"/>
        <w:ind w:firstLine="567"/>
        <w:rPr>
          <w:bCs/>
          <w:sz w:val="24"/>
          <w:szCs w:val="24"/>
        </w:rPr>
      </w:pPr>
      <w:r>
        <w:rPr>
          <w:bCs/>
          <w:sz w:val="24"/>
          <w:szCs w:val="24"/>
        </w:rPr>
        <w:t xml:space="preserve">7.6.3.1. За каждый факт неисполнения или ненадлежащего исполнения поставщиком обязательств, предусмотренных контрактом, за исключением просрочки обязательств (в том числе гарантийного обязательства), предусмотренных контрактом, размер штрафа устанавливается в соответствии с Правилами и составляет (за исключением случаев, предусмотренных пунктами 4 - 8 Правил): (п.3 Правил) </w:t>
      </w:r>
    </w:p>
    <w:p>
      <w:pPr>
        <w:pStyle w:val="Normal"/>
        <w:spacing w:lineRule="auto" w:line="240" w:before="120" w:after="0"/>
        <w:ind w:firstLine="567"/>
        <w:rPr>
          <w:bCs/>
          <w:sz w:val="24"/>
          <w:szCs w:val="24"/>
        </w:rPr>
      </w:pPr>
      <w:r>
        <w:rPr>
          <w:bCs/>
          <w:sz w:val="24"/>
          <w:szCs w:val="24"/>
        </w:rPr>
        <w:t>а) 10 процентов цены контракта (этапа) в случае, если цена контракта (этапа) не превышает 3 млн. рублей;</w:t>
      </w:r>
    </w:p>
    <w:p>
      <w:pPr>
        <w:pStyle w:val="Normal"/>
        <w:spacing w:lineRule="auto" w:line="240" w:before="120" w:after="0"/>
        <w:ind w:firstLine="567"/>
        <w:rPr>
          <w:bCs/>
          <w:sz w:val="24"/>
          <w:szCs w:val="24"/>
        </w:rPr>
      </w:pPr>
      <w:r>
        <w:rPr>
          <w:bCs/>
          <w:sz w:val="24"/>
          <w:szCs w:val="24"/>
        </w:rPr>
        <w:t>б) 5 процентов цены контракта (этапа) в случае, если цена контракта (этапа) составляет от 3 млн. рублей до 50 млн. рублей (включительно);</w:t>
      </w:r>
    </w:p>
    <w:p>
      <w:pPr>
        <w:pStyle w:val="Normal"/>
        <w:spacing w:lineRule="auto" w:line="240" w:before="120" w:after="0"/>
        <w:ind w:firstLine="567"/>
        <w:rPr>
          <w:bCs/>
          <w:sz w:val="24"/>
          <w:szCs w:val="24"/>
        </w:rPr>
      </w:pPr>
      <w:r>
        <w:rPr>
          <w:bCs/>
          <w:sz w:val="24"/>
          <w:szCs w:val="24"/>
        </w:rPr>
        <w:t>в) 1 процент цены контракта (этапа) в случае, если цена контракта (этапа) составляет от 50 млн. рублей до 100 млн. рублей (включительно);</w:t>
      </w:r>
    </w:p>
    <w:p>
      <w:pPr>
        <w:pStyle w:val="Normal"/>
        <w:spacing w:lineRule="auto" w:line="240" w:before="120" w:after="0"/>
        <w:ind w:firstLine="567"/>
        <w:rPr>
          <w:bCs/>
          <w:sz w:val="24"/>
          <w:szCs w:val="24"/>
        </w:rPr>
      </w:pPr>
      <w:r>
        <w:rPr>
          <w:bCs/>
          <w:sz w:val="24"/>
          <w:szCs w:val="24"/>
        </w:rPr>
        <w:t>г) 0,5 процента цены контракта (этапа) в случае, если цена контракта (этапа) составляет от 100 млн. рублей до 500 млн. рублей (включительно);</w:t>
      </w:r>
    </w:p>
    <w:p>
      <w:pPr>
        <w:pStyle w:val="Normal"/>
        <w:spacing w:lineRule="auto" w:line="240" w:before="120" w:after="0"/>
        <w:ind w:firstLine="567"/>
        <w:rPr>
          <w:bCs/>
          <w:sz w:val="24"/>
          <w:szCs w:val="24"/>
        </w:rPr>
      </w:pPr>
      <w:r>
        <w:rPr>
          <w:bCs/>
          <w:sz w:val="24"/>
          <w:szCs w:val="24"/>
        </w:rPr>
        <w:t>д) 0,4 процента цены контракта (этапа) в случае, если цена контракта (этапа) составляет от 500 млн. рублей до 1 млрд. рублей (включительно);</w:t>
      </w:r>
    </w:p>
    <w:p>
      <w:pPr>
        <w:pStyle w:val="Normal"/>
        <w:spacing w:lineRule="auto" w:line="240" w:before="120" w:after="0"/>
        <w:ind w:firstLine="567"/>
        <w:rPr>
          <w:bCs/>
          <w:sz w:val="24"/>
          <w:szCs w:val="24"/>
        </w:rPr>
      </w:pPr>
      <w:r>
        <w:rPr>
          <w:bCs/>
          <w:sz w:val="24"/>
          <w:szCs w:val="24"/>
        </w:rPr>
        <w:t>е) 0,3 процента цены контракта (этапа) в случае, если цена контракта (этапа) составляет от 1 млрд. рублей до 2 млрд. рублей (включительно);</w:t>
      </w:r>
    </w:p>
    <w:p>
      <w:pPr>
        <w:pStyle w:val="Normal"/>
        <w:spacing w:lineRule="auto" w:line="240" w:before="120" w:after="0"/>
        <w:ind w:firstLine="567"/>
        <w:rPr>
          <w:bCs/>
          <w:sz w:val="24"/>
          <w:szCs w:val="24"/>
        </w:rPr>
      </w:pPr>
      <w:r>
        <w:rPr>
          <w:bCs/>
          <w:sz w:val="24"/>
          <w:szCs w:val="24"/>
        </w:rPr>
        <w:t>ж) 0,25 процента цены контракта (этапа) в случае, если цена контракта (этапа) составляет от 2 млрд. рублей до 5 млрд. рублей (включительно);</w:t>
      </w:r>
    </w:p>
    <w:p>
      <w:pPr>
        <w:pStyle w:val="Normal"/>
        <w:spacing w:lineRule="auto" w:line="240" w:before="120" w:after="0"/>
        <w:ind w:firstLine="567"/>
        <w:rPr>
          <w:bCs/>
          <w:sz w:val="24"/>
          <w:szCs w:val="24"/>
        </w:rPr>
      </w:pPr>
      <w:r>
        <w:rPr>
          <w:bCs/>
          <w:sz w:val="24"/>
          <w:szCs w:val="24"/>
        </w:rPr>
        <w:t>з) 0,2 процента цены контракта (этапа) в случае, если цена контракта (этапа) составляет от 5 млрд. рублей до 10 млрд. рублей (включительно);</w:t>
      </w:r>
    </w:p>
    <w:p>
      <w:pPr>
        <w:pStyle w:val="Normal"/>
        <w:spacing w:lineRule="auto" w:line="240" w:before="120" w:after="0"/>
        <w:ind w:firstLine="567"/>
        <w:rPr>
          <w:bCs/>
          <w:sz w:val="24"/>
          <w:szCs w:val="24"/>
        </w:rPr>
      </w:pPr>
      <w:r>
        <w:rPr>
          <w:bCs/>
          <w:sz w:val="24"/>
          <w:szCs w:val="24"/>
        </w:rPr>
        <w:t>и) 0,1 процента цены контракта (этапа) в случае, если цена контракта (этапа) превышает 10 млрд. рублей.</w:t>
      </w:r>
    </w:p>
    <w:p>
      <w:pPr>
        <w:pStyle w:val="Normal"/>
        <w:spacing w:lineRule="auto" w:line="240" w:before="120" w:after="0"/>
        <w:ind w:firstLine="567"/>
        <w:rPr>
          <w:bCs/>
          <w:sz w:val="24"/>
          <w:szCs w:val="24"/>
        </w:rPr>
      </w:pPr>
      <w:r>
        <w:rPr>
          <w:bCs/>
          <w:sz w:val="24"/>
          <w:szCs w:val="24"/>
        </w:rPr>
        <w:t>7.6.3.2.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(п.6 Правил)</w:t>
      </w:r>
    </w:p>
    <w:p>
      <w:pPr>
        <w:pStyle w:val="Normal"/>
        <w:spacing w:lineRule="auto" w:line="240" w:before="120" w:after="0"/>
        <w:ind w:firstLine="567"/>
        <w:rPr>
          <w:bCs/>
          <w:sz w:val="24"/>
          <w:szCs w:val="24"/>
        </w:rPr>
      </w:pPr>
      <w:r>
        <w:rPr>
          <w:bCs/>
          <w:sz w:val="24"/>
          <w:szCs w:val="24"/>
        </w:rPr>
        <w:t>1000 рублей, если цена контракта не превышает 3 млн. рублей;</w:t>
      </w:r>
    </w:p>
    <w:p>
      <w:pPr>
        <w:pStyle w:val="Normal"/>
        <w:spacing w:lineRule="auto" w:line="240" w:before="120" w:after="0"/>
        <w:ind w:firstLine="567"/>
        <w:rPr>
          <w:bCs/>
          <w:sz w:val="24"/>
          <w:szCs w:val="24"/>
        </w:rPr>
      </w:pPr>
      <w:r>
        <w:rPr>
          <w:bCs/>
          <w:sz w:val="24"/>
          <w:szCs w:val="24"/>
        </w:rPr>
        <w:t>5000 рублей, если цена контракта составляет от 3 млн. рублей до 50 млн. рублей (включительно);</w:t>
      </w:r>
    </w:p>
    <w:p>
      <w:pPr>
        <w:pStyle w:val="Normal"/>
        <w:spacing w:lineRule="auto" w:line="240" w:before="120" w:after="0"/>
        <w:ind w:firstLine="567"/>
        <w:rPr>
          <w:bCs/>
          <w:sz w:val="24"/>
          <w:szCs w:val="24"/>
        </w:rPr>
      </w:pPr>
      <w:r>
        <w:rPr>
          <w:bCs/>
          <w:sz w:val="24"/>
          <w:szCs w:val="24"/>
        </w:rPr>
        <w:t>10000 рублей, если цена контракта составляет от 50 млн. рублей до 100 млн. рублей (включительно);</w:t>
      </w:r>
    </w:p>
    <w:p>
      <w:pPr>
        <w:pStyle w:val="Normal"/>
        <w:spacing w:lineRule="auto" w:line="240" w:before="120" w:after="0"/>
        <w:ind w:firstLine="567"/>
        <w:rPr>
          <w:bCs/>
          <w:sz w:val="24"/>
          <w:szCs w:val="24"/>
        </w:rPr>
      </w:pPr>
      <w:r>
        <w:rPr>
          <w:bCs/>
          <w:sz w:val="24"/>
          <w:szCs w:val="24"/>
        </w:rPr>
        <w:t>100000 рублей, если цена контракта превышает 100 млн. рублей.</w:t>
      </w:r>
    </w:p>
    <w:p>
      <w:pPr>
        <w:pStyle w:val="Normal"/>
        <w:spacing w:lineRule="auto" w:line="240" w:before="120" w:after="0"/>
        <w:ind w:firstLine="567"/>
        <w:rPr>
          <w:bCs/>
          <w:sz w:val="24"/>
          <w:szCs w:val="24"/>
        </w:rPr>
      </w:pPr>
      <w:r>
        <w:rPr>
          <w:bCs/>
          <w:sz w:val="24"/>
          <w:szCs w:val="24"/>
        </w:rPr>
        <w:t>7.6.3.3.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контрактом, и устанавливается в порядке: (п.5 Правил)</w:t>
      </w:r>
    </w:p>
    <w:p>
      <w:pPr>
        <w:pStyle w:val="Normal"/>
        <w:spacing w:lineRule="auto" w:line="240" w:before="120" w:after="0"/>
        <w:ind w:firstLine="567"/>
        <w:rPr>
          <w:bCs/>
          <w:sz w:val="24"/>
          <w:szCs w:val="24"/>
        </w:rPr>
      </w:pPr>
      <w:r>
        <w:rPr>
          <w:bCs/>
          <w:sz w:val="24"/>
          <w:szCs w:val="24"/>
        </w:rPr>
        <w:t>а) в случае, если цена контракта не превышает начальную (максимальную) цену контракта:</w:t>
      </w:r>
    </w:p>
    <w:p>
      <w:pPr>
        <w:pStyle w:val="Normal"/>
        <w:spacing w:lineRule="auto" w:line="240" w:before="120" w:after="0"/>
        <w:ind w:firstLine="567"/>
        <w:rPr>
          <w:bCs/>
          <w:sz w:val="24"/>
          <w:szCs w:val="24"/>
        </w:rPr>
      </w:pPr>
      <w:r>
        <w:rPr>
          <w:bCs/>
          <w:sz w:val="24"/>
          <w:szCs w:val="24"/>
        </w:rPr>
        <w:t>10 процентов начальной (максимальной) цены контракта, если цена контракта не превышает 3 млн. рублей;</w:t>
      </w:r>
    </w:p>
    <w:p>
      <w:pPr>
        <w:pStyle w:val="Normal"/>
        <w:spacing w:lineRule="auto" w:line="240" w:before="120" w:after="0"/>
        <w:ind w:firstLine="567"/>
        <w:rPr>
          <w:bCs/>
          <w:sz w:val="24"/>
          <w:szCs w:val="24"/>
        </w:rPr>
      </w:pPr>
      <w:r>
        <w:rPr>
          <w:bCs/>
          <w:sz w:val="24"/>
          <w:szCs w:val="24"/>
        </w:rPr>
        <w:t>5 процентов начальной (максимальной) цены контракта, если цена контракта составляет от 3 млн. рублей до 50 млн. рублей (включительно);</w:t>
      </w:r>
    </w:p>
    <w:p>
      <w:pPr>
        <w:pStyle w:val="Normal"/>
        <w:spacing w:lineRule="auto" w:line="240" w:before="120" w:after="0"/>
        <w:ind w:firstLine="567"/>
        <w:rPr>
          <w:bCs/>
          <w:sz w:val="24"/>
          <w:szCs w:val="24"/>
        </w:rPr>
      </w:pPr>
      <w:r>
        <w:rPr>
          <w:bCs/>
          <w:sz w:val="24"/>
          <w:szCs w:val="24"/>
        </w:rPr>
        <w:t>1 процент начальной (максимальной) цены контракта, если цена контракта составляет от 50 млн. рублей до 100 млн. рублей (включительно);</w:t>
      </w:r>
    </w:p>
    <w:p>
      <w:pPr>
        <w:pStyle w:val="Normal"/>
        <w:spacing w:lineRule="auto" w:line="240" w:before="120" w:after="0"/>
        <w:ind w:firstLine="567"/>
        <w:rPr>
          <w:bCs/>
          <w:sz w:val="24"/>
          <w:szCs w:val="24"/>
        </w:rPr>
      </w:pPr>
      <w:r>
        <w:rPr>
          <w:bCs/>
          <w:sz w:val="24"/>
          <w:szCs w:val="24"/>
        </w:rPr>
        <w:t>б) в случае, если цена контракта превышает начальную (максимальную) цену контракта:</w:t>
      </w:r>
    </w:p>
    <w:p>
      <w:pPr>
        <w:pStyle w:val="Normal"/>
        <w:spacing w:lineRule="auto" w:line="240" w:before="120" w:after="0"/>
        <w:ind w:firstLine="567"/>
        <w:rPr>
          <w:bCs/>
          <w:sz w:val="24"/>
          <w:szCs w:val="24"/>
        </w:rPr>
      </w:pPr>
      <w:r>
        <w:rPr>
          <w:bCs/>
          <w:sz w:val="24"/>
          <w:szCs w:val="24"/>
        </w:rPr>
        <w:t>10 процентов цены контракта, если цена контракта не превышает 3 млн. рублей;</w:t>
      </w:r>
    </w:p>
    <w:p>
      <w:pPr>
        <w:pStyle w:val="Normal"/>
        <w:spacing w:lineRule="auto" w:line="240" w:before="120" w:after="0"/>
        <w:ind w:firstLine="567"/>
        <w:rPr>
          <w:bCs/>
          <w:sz w:val="24"/>
          <w:szCs w:val="24"/>
        </w:rPr>
      </w:pPr>
      <w:r>
        <w:rPr>
          <w:bCs/>
          <w:sz w:val="24"/>
          <w:szCs w:val="24"/>
        </w:rPr>
        <w:t>5 процентов цены контракта, если цена контракта составляет от 3 млн. рублей до 50 млн. рублей (включительно);</w:t>
      </w:r>
    </w:p>
    <w:p>
      <w:pPr>
        <w:pStyle w:val="Normal"/>
        <w:spacing w:lineRule="auto" w:line="240" w:before="120" w:after="0"/>
        <w:ind w:firstLine="567"/>
        <w:rPr>
          <w:bCs/>
          <w:sz w:val="24"/>
          <w:szCs w:val="24"/>
        </w:rPr>
      </w:pPr>
      <w:r>
        <w:rPr>
          <w:bCs/>
          <w:sz w:val="24"/>
          <w:szCs w:val="24"/>
        </w:rPr>
        <w:t>1 процент цены контракта, если цена контракта составляет от 50 млн. рублей до 100 млн. рублей (включительно).</w:t>
      </w:r>
    </w:p>
    <w:p>
      <w:pPr>
        <w:pStyle w:val="Normal"/>
        <w:spacing w:lineRule="auto" w:line="240" w:before="120" w:after="0"/>
        <w:ind w:firstLine="567"/>
        <w:rPr>
          <w:bCs/>
          <w:sz w:val="24"/>
          <w:szCs w:val="24"/>
        </w:rPr>
      </w:pPr>
      <w:r>
        <w:rPr>
          <w:bCs/>
          <w:sz w:val="24"/>
          <w:szCs w:val="24"/>
        </w:rPr>
        <w:t>7.6.3.4.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(п.11 Правил)</w:t>
      </w:r>
    </w:p>
    <w:p>
      <w:pPr>
        <w:pStyle w:val="Normal"/>
        <w:spacing w:lineRule="auto" w:line="240" w:before="120" w:after="0"/>
        <w:ind w:firstLine="567"/>
        <w:rPr>
          <w:bCs/>
          <w:sz w:val="24"/>
          <w:szCs w:val="24"/>
        </w:rPr>
      </w:pPr>
      <w:r>
        <w:rPr>
          <w:bCs/>
          <w:sz w:val="24"/>
          <w:szCs w:val="24"/>
        </w:rPr>
        <w:t>(далее пункты указываются заказчиком при необходимости, могут быть дополнены иными пунктами, нумерация корректируется)</w:t>
      </w:r>
    </w:p>
    <w:p>
      <w:pPr>
        <w:pStyle w:val="Normal"/>
        <w:spacing w:lineRule="auto" w:line="240" w:before="120" w:after="0"/>
        <w:ind w:firstLine="567"/>
        <w:rPr>
          <w:bCs/>
          <w:sz w:val="24"/>
          <w:szCs w:val="24"/>
        </w:rPr>
      </w:pPr>
      <w:r>
        <w:rPr>
          <w:bCs/>
          <w:sz w:val="24"/>
          <w:szCs w:val="24"/>
        </w:rPr>
        <w:t xml:space="preserve">7.6.4. За каждый день просрочки исполнения поставщиком обязательства, предусмотренного частью 30 статьи 34 Закона, начисляется пеня в размере, определенном в порядке, установленном в пункте 7.6.2 контракта.   </w:t>
      </w:r>
    </w:p>
    <w:p>
      <w:pPr>
        <w:pStyle w:val="Heading1"/>
        <w:keepNext w:val="false"/>
        <w:widowControl w:val="false"/>
        <w:tabs>
          <w:tab w:val="clear" w:pos="709"/>
          <w:tab w:val="left" w:pos="0" w:leader="none"/>
        </w:tabs>
        <w:bidi w:val="0"/>
        <w:spacing w:lineRule="auto" w:line="240" w:before="240" w:after="0"/>
        <w:ind w:hanging="0" w:left="0"/>
        <w:rPr>
          <w:rFonts w:ascii="Times New Roman" w:hAnsi="Times New Roman" w:eastAsia="Times New Roman"/>
          <w:szCs w:val="24"/>
        </w:rPr>
      </w:pPr>
      <w:bookmarkStart w:id="12" w:name="_ref_22563524_Копия_1"/>
      <w:bookmarkEnd w:id="12"/>
      <w:r>
        <w:rPr>
          <w:rFonts w:eastAsia="Times New Roman"/>
          <w:szCs w:val="24"/>
        </w:rPr>
        <w:t>Ответственность сторон</w:t>
      </w:r>
      <w:bookmarkStart w:id="13" w:name="_ref_22811749"/>
    </w:p>
    <w:p>
      <w:pPr>
        <w:pStyle w:val="Heading1"/>
        <w:keepNext w:val="false"/>
        <w:widowControl w:val="false"/>
        <w:numPr>
          <w:ilvl w:val="0"/>
          <w:numId w:val="0"/>
        </w:numPr>
        <w:tabs>
          <w:tab w:val="clear" w:pos="709"/>
          <w:tab w:val="left" w:pos="0" w:leader="none"/>
        </w:tabs>
        <w:ind w:firstLine="851" w:left="0"/>
        <w:jc w:val="both"/>
        <w:rPr>
          <w:b w:val="false"/>
          <w:bCs w:val="false"/>
          <w:szCs w:val="24"/>
        </w:rPr>
      </w:pPr>
      <w:r>
        <w:rPr>
          <w:b w:val="false"/>
          <w:bCs w:val="false"/>
          <w:szCs w:val="24"/>
        </w:rPr>
        <w:t>8.1. Изменение контракта.</w:t>
      </w:r>
    </w:p>
    <w:p>
      <w:pPr>
        <w:pStyle w:val="Heading1"/>
        <w:keepNext w:val="false"/>
        <w:widowControl w:val="false"/>
        <w:numPr>
          <w:ilvl w:val="0"/>
          <w:numId w:val="0"/>
        </w:numPr>
        <w:tabs>
          <w:tab w:val="clear" w:pos="709"/>
          <w:tab w:val="left" w:pos="0" w:leader="none"/>
        </w:tabs>
        <w:ind w:firstLine="709" w:left="0"/>
        <w:jc w:val="both"/>
        <w:rPr>
          <w:b w:val="false"/>
          <w:bCs w:val="false"/>
          <w:szCs w:val="24"/>
        </w:rPr>
      </w:pPr>
      <w:r>
        <w:rPr>
          <w:b w:val="false"/>
          <w:bCs w:val="false"/>
          <w:szCs w:val="24"/>
        </w:rPr>
        <w:t>8.1.1. Изменение существенных условий контракта</w:t>
      </w:r>
      <w:r>
        <w:rPr>
          <w:rFonts w:eastAsia="Calibri"/>
          <w:b w:val="false"/>
          <w:bCs w:val="false"/>
          <w:i/>
          <w:szCs w:val="24"/>
          <w:vertAlign w:val="superscript"/>
        </w:rPr>
        <w:t xml:space="preserve"> </w:t>
      </w:r>
      <w:r>
        <w:rPr>
          <w:b w:val="false"/>
          <w:bCs w:val="false"/>
          <w:szCs w:val="24"/>
        </w:rPr>
        <w:t xml:space="preserve">при его исполнении не допускается, за исключением их изменения по соглашению сторон в случаях, предусмотренных законодательством о контрактной системе. </w:t>
      </w:r>
    </w:p>
    <w:p>
      <w:pPr>
        <w:pStyle w:val="Normal"/>
        <w:tabs>
          <w:tab w:val="left" w:pos="284" w:leader="none"/>
          <w:tab w:val="left" w:pos="709" w:leader="none"/>
        </w:tabs>
        <w:spacing w:lineRule="auto" w:line="240" w:before="120" w:after="0"/>
        <w:ind w:firstLine="709"/>
        <w:rPr>
          <w:rFonts w:eastAsia="Calibri"/>
          <w:sz w:val="24"/>
          <w:szCs w:val="24"/>
        </w:rPr>
      </w:pPr>
      <w:r>
        <w:rPr>
          <w:rFonts w:eastAsia="Calibri"/>
          <w:sz w:val="24"/>
          <w:szCs w:val="24"/>
        </w:rPr>
        <w:t xml:space="preserve">8.1.2. Все изменения и дополнения к контракту оформляются дополнительным соглашением к такому контракту, которое </w:t>
      </w:r>
      <w:r>
        <w:rPr>
          <w:sz w:val="24"/>
          <w:szCs w:val="24"/>
        </w:rPr>
        <w:t>является его неотъемлемой частью.</w:t>
      </w:r>
    </w:p>
    <w:p>
      <w:pPr>
        <w:pStyle w:val="Heading1"/>
        <w:keepNext w:val="false"/>
        <w:widowControl w:val="false"/>
        <w:numPr>
          <w:ilvl w:val="0"/>
          <w:numId w:val="0"/>
        </w:numPr>
        <w:tabs>
          <w:tab w:val="clear" w:pos="709"/>
          <w:tab w:val="left" w:pos="0" w:leader="none"/>
        </w:tabs>
        <w:ind w:hanging="0" w:left="0"/>
        <w:jc w:val="both"/>
        <w:rPr>
          <w:szCs w:val="24"/>
        </w:rPr>
      </w:pPr>
      <w:r>
        <w:rPr>
          <w:b w:val="false"/>
          <w:bCs w:val="false"/>
          <w:szCs w:val="24"/>
        </w:rPr>
        <w:tab/>
        <w:t xml:space="preserve">8.2. Расторжение контракта </w:t>
      </w:r>
      <w:r>
        <w:rPr>
          <w:rFonts w:eastAsia="Calibri"/>
          <w:b w:val="false"/>
          <w:szCs w:val="24"/>
        </w:rPr>
        <w:t>допускается по соглашению сторон, по решению суда, в сл</w:t>
      </w:r>
      <w:r>
        <w:rPr>
          <w:rFonts w:eastAsia="Calibri"/>
          <w:b w:val="false"/>
          <w:color w:val="000000"/>
          <w:szCs w:val="24"/>
        </w:rPr>
        <w:t xml:space="preserve">учае одностороннего отказа стороны контракта от исполнения контракта в соответствии с </w:t>
      </w:r>
      <w:r>
        <w:rPr>
          <w:b w:val="false"/>
          <w:color w:val="000000"/>
          <w:szCs w:val="24"/>
        </w:rPr>
        <w:t xml:space="preserve">Гражданским кодексом Российской Федерации и </w:t>
      </w:r>
      <w:r>
        <w:rPr>
          <w:b w:val="false"/>
          <w:bCs w:val="false"/>
          <w:color w:val="000000"/>
          <w:szCs w:val="24"/>
        </w:rPr>
        <w:t>законодательством о контрактной системе</w:t>
      </w:r>
      <w:r>
        <w:rPr>
          <w:b w:val="false"/>
          <w:color w:val="000000"/>
          <w:szCs w:val="24"/>
        </w:rPr>
        <w:t>. (ч.8 ст. 95 Закона)</w:t>
      </w:r>
    </w:p>
    <w:p>
      <w:pPr>
        <w:pStyle w:val="Heading1"/>
        <w:keepNext w:val="false"/>
        <w:widowControl w:val="false"/>
        <w:numPr>
          <w:ilvl w:val="0"/>
          <w:numId w:val="0"/>
        </w:numPr>
        <w:tabs>
          <w:tab w:val="clear" w:pos="709"/>
          <w:tab w:val="left" w:pos="0" w:leader="none"/>
        </w:tabs>
        <w:ind w:hanging="0" w:left="0"/>
        <w:jc w:val="both"/>
        <w:rPr>
          <w:b w:val="false"/>
          <w:bCs w:val="false"/>
          <w:szCs w:val="24"/>
        </w:rPr>
      </w:pPr>
      <w:r>
        <w:rPr>
          <w:b w:val="false"/>
          <w:bCs w:val="false"/>
          <w:szCs w:val="24"/>
        </w:rPr>
        <w:tab/>
        <w:t>8.2.1. Расторжение контракта по решению суда.</w:t>
      </w:r>
    </w:p>
    <w:p>
      <w:pPr>
        <w:pStyle w:val="Normal"/>
        <w:tabs>
          <w:tab w:val="left" w:pos="284" w:leader="none"/>
          <w:tab w:val="left" w:pos="709" w:leader="none"/>
        </w:tabs>
        <w:spacing w:lineRule="auto" w:line="240" w:before="120" w:after="0"/>
        <w:ind w:firstLine="567"/>
        <w:rPr>
          <w:sz w:val="24"/>
          <w:szCs w:val="24"/>
        </w:rPr>
      </w:pPr>
      <w:r>
        <w:rPr>
          <w:sz w:val="24"/>
          <w:szCs w:val="24"/>
        </w:rPr>
        <w:t>Стороны должны принять меры по досудебному урегулированию любых споров, разногласий и требований, возникающие в рамках контракта.</w:t>
      </w:r>
    </w:p>
    <w:p>
      <w:pPr>
        <w:pStyle w:val="Heading1"/>
        <w:keepNext w:val="false"/>
        <w:widowControl w:val="false"/>
        <w:numPr>
          <w:ilvl w:val="0"/>
          <w:numId w:val="0"/>
        </w:numPr>
        <w:tabs>
          <w:tab w:val="clear" w:pos="709"/>
          <w:tab w:val="left" w:pos="0" w:leader="none"/>
        </w:tabs>
        <w:ind w:hanging="0" w:left="0"/>
        <w:jc w:val="both"/>
        <w:rPr>
          <w:b w:val="false"/>
          <w:bCs w:val="false"/>
          <w:szCs w:val="24"/>
        </w:rPr>
      </w:pPr>
      <w:r>
        <w:rPr>
          <w:b w:val="false"/>
          <w:bCs w:val="false"/>
          <w:szCs w:val="24"/>
        </w:rPr>
        <w:tab/>
        <w:t>8.2.</w:t>
      </w:r>
      <w:r>
        <w:rPr>
          <w:b w:val="false"/>
          <w:bCs w:val="false"/>
          <w:color w:val="7030A0"/>
          <w:szCs w:val="24"/>
        </w:rPr>
        <w:t>2</w:t>
      </w:r>
      <w:r>
        <w:rPr>
          <w:b w:val="false"/>
          <w:bCs w:val="false"/>
          <w:szCs w:val="24"/>
        </w:rPr>
        <w:t>. Расторжение контракта в случае одностороннего отказа стороны от исполнения контракта:</w:t>
      </w:r>
    </w:p>
    <w:p>
      <w:pPr>
        <w:pStyle w:val="Heading1"/>
        <w:keepNext w:val="false"/>
        <w:widowControl w:val="false"/>
        <w:numPr>
          <w:ilvl w:val="0"/>
          <w:numId w:val="0"/>
        </w:numPr>
        <w:tabs>
          <w:tab w:val="clear" w:pos="709"/>
          <w:tab w:val="left" w:pos="0" w:leader="none"/>
        </w:tabs>
        <w:ind w:hanging="0" w:left="0"/>
        <w:jc w:val="both"/>
        <w:rPr>
          <w:b w:val="false"/>
          <w:bCs w:val="false"/>
          <w:szCs w:val="24"/>
        </w:rPr>
      </w:pPr>
      <w:r>
        <w:rPr>
          <w:b w:val="false"/>
          <w:bCs w:val="false"/>
          <w:szCs w:val="24"/>
        </w:rPr>
        <w:tab/>
        <w:t>1) Расторжение контракта, в случае принятия стороной решения об одностороннем отказе от исполнения контракта, осуществляется сторонами в случаях и порядке, предусмотренными статьей 95 Закона.</w:t>
      </w:r>
    </w:p>
    <w:p>
      <w:pPr>
        <w:pStyle w:val="Normal"/>
        <w:tabs>
          <w:tab w:val="left" w:pos="284" w:leader="none"/>
          <w:tab w:val="left" w:pos="709" w:leader="none"/>
        </w:tabs>
        <w:spacing w:lineRule="auto" w:line="240" w:before="120" w:after="0"/>
        <w:ind w:firstLine="567"/>
        <w:rPr>
          <w:rFonts w:eastAsia="Calibri"/>
          <w:sz w:val="24"/>
          <w:szCs w:val="24"/>
        </w:rPr>
      </w:pPr>
      <w:r>
        <w:rPr>
          <w:rFonts w:eastAsia="Calibri"/>
          <w:sz w:val="24"/>
          <w:szCs w:val="24"/>
        </w:rPr>
        <w:t>2) Сторона должна при осуществлении права на односторонний отказ от исполнения контракта действовать добросовестно и разумн</w:t>
      </w:r>
      <w:r>
        <w:rPr>
          <w:rFonts w:eastAsia="Calibri"/>
          <w:color w:val="000000"/>
          <w:sz w:val="24"/>
          <w:szCs w:val="24"/>
        </w:rPr>
        <w:t>о в пределах, предусмотренных законодательством Российской Федерации и контрактом.</w:t>
      </w:r>
    </w:p>
    <w:p>
      <w:pPr>
        <w:pStyle w:val="Normal"/>
        <w:tabs>
          <w:tab w:val="left" w:pos="284" w:leader="none"/>
          <w:tab w:val="left" w:pos="709" w:leader="none"/>
        </w:tabs>
        <w:spacing w:lineRule="auto" w:line="240" w:before="120" w:after="0"/>
        <w:ind w:firstLine="567"/>
        <w:rPr>
          <w:color w:val="000000"/>
        </w:rPr>
      </w:pPr>
      <w:r>
        <w:rPr>
          <w:rFonts w:eastAsia="Calibri"/>
          <w:color w:val="000000"/>
          <w:sz w:val="24"/>
          <w:szCs w:val="24"/>
        </w:rPr>
        <w:t xml:space="preserve">3) При расторжении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r>
        <w:rPr>
          <w:color w:val="000000"/>
          <w:sz w:val="24"/>
          <w:szCs w:val="24"/>
        </w:rPr>
        <w:t>(ч.23 ст.95 Закона)</w:t>
      </w:r>
    </w:p>
    <w:p>
      <w:pPr>
        <w:pStyle w:val="Heading1"/>
        <w:keepNext w:val="false"/>
        <w:widowControl w:val="false"/>
        <w:numPr>
          <w:ilvl w:val="0"/>
          <w:numId w:val="0"/>
        </w:numPr>
        <w:tabs>
          <w:tab w:val="clear" w:pos="709"/>
          <w:tab w:val="left" w:pos="0" w:leader="none"/>
        </w:tabs>
        <w:ind w:hanging="0" w:left="0"/>
        <w:jc w:val="both"/>
        <w:rPr>
          <w:b w:val="false"/>
          <w:bCs w:val="false"/>
          <w:szCs w:val="24"/>
        </w:rPr>
      </w:pPr>
      <w:r>
        <w:rPr>
          <w:b w:val="false"/>
          <w:bCs w:val="false"/>
          <w:szCs w:val="24"/>
        </w:rPr>
        <w:tab/>
        <w:t>8.2.2.1. Решение заказчика об одностороннем отказе от исполнения контракта.</w:t>
      </w:r>
    </w:p>
    <w:p>
      <w:pPr>
        <w:pStyle w:val="Normal"/>
        <w:tabs>
          <w:tab w:val="left" w:pos="284" w:leader="none"/>
          <w:tab w:val="left" w:pos="709" w:leader="none"/>
        </w:tabs>
        <w:spacing w:lineRule="auto" w:line="240" w:before="120" w:after="0"/>
        <w:ind w:firstLine="567"/>
        <w:rPr>
          <w:rFonts w:eastAsia="Calibri"/>
          <w:sz w:val="24"/>
          <w:szCs w:val="24"/>
        </w:rPr>
      </w:pPr>
      <w:r>
        <w:rPr>
          <w:rFonts w:eastAsia="Calibri"/>
          <w:sz w:val="24"/>
          <w:szCs w:val="24"/>
        </w:rPr>
        <w:t xml:space="preserve">8.2.2.1.1. Заказчик </w:t>
      </w:r>
      <w:r>
        <w:rPr>
          <w:rFonts w:eastAsia="Calibri"/>
          <w:b/>
          <w:sz w:val="24"/>
          <w:szCs w:val="24"/>
        </w:rPr>
        <w:t>обязан</w:t>
      </w:r>
      <w:r>
        <w:rPr>
          <w:rFonts w:eastAsia="Calibri"/>
          <w:sz w:val="24"/>
          <w:szCs w:val="24"/>
        </w:rPr>
        <w:t xml:space="preserve"> принять решение об одностороннем отказе от исполнения контракта если в ходе исполнения контракта установлено, что:</w:t>
      </w:r>
    </w:p>
    <w:p>
      <w:pPr>
        <w:pStyle w:val="Normal"/>
        <w:tabs>
          <w:tab w:val="left" w:pos="284" w:leader="none"/>
          <w:tab w:val="left" w:pos="709" w:leader="none"/>
        </w:tabs>
        <w:spacing w:lineRule="auto" w:line="240" w:before="120" w:after="0"/>
        <w:ind w:firstLine="567"/>
        <w:rPr>
          <w:color w:val="FF0000"/>
          <w:sz w:val="24"/>
          <w:szCs w:val="24"/>
        </w:rPr>
      </w:pPr>
      <w:r>
        <w:rPr>
          <w:rFonts w:eastAsia="Calibri"/>
          <w:sz w:val="24"/>
          <w:szCs w:val="24"/>
        </w:rPr>
        <w:t>а) поставщик</w:t>
      </w:r>
      <w:r>
        <w:rPr>
          <w:sz w:val="24"/>
          <w:szCs w:val="24"/>
        </w:rPr>
        <w:t xml:space="preserve"> и (или) постав</w:t>
      </w:r>
      <w:r>
        <w:rPr>
          <w:color w:val="000000"/>
          <w:sz w:val="24"/>
          <w:szCs w:val="24"/>
        </w:rPr>
        <w:t xml:space="preserve">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2">
        <w:r>
          <w:rPr>
            <w:rStyle w:val="Style"/>
            <w:color w:val="000000"/>
            <w:sz w:val="24"/>
            <w:szCs w:val="24"/>
          </w:rPr>
          <w:t>частью 1.1</w:t>
        </w:r>
      </w:hyperlink>
      <w:r>
        <w:rPr>
          <w:color w:val="000000"/>
          <w:sz w:val="24"/>
          <w:szCs w:val="24"/>
        </w:rPr>
        <w:t xml:space="preserve"> (при наличии такого требования) статьи 31 Закона) и (или) поставляемому товару; (п.«а» ч.15 ст.95 Закона)</w:t>
      </w:r>
    </w:p>
    <w:p>
      <w:pPr>
        <w:pStyle w:val="Normal"/>
        <w:tabs>
          <w:tab w:val="left" w:pos="284" w:leader="none"/>
          <w:tab w:val="left" w:pos="709" w:leader="none"/>
        </w:tabs>
        <w:spacing w:lineRule="auto" w:line="240" w:before="120" w:after="0"/>
        <w:ind w:firstLine="567"/>
        <w:rPr/>
      </w:pPr>
      <w:r>
        <w:rPr>
          <w:rFonts w:eastAsia="Calibri"/>
          <w:color w:val="000000"/>
          <w:sz w:val="24"/>
          <w:szCs w:val="24"/>
        </w:rPr>
        <w:t xml:space="preserve">б) </w:t>
      </w:r>
      <w:r>
        <w:rPr>
          <w:color w:val="000000"/>
          <w:sz w:val="24"/>
          <w:szCs w:val="24"/>
        </w:rPr>
        <w:t xml:space="preserve">при определении </w:t>
      </w:r>
      <w:r>
        <w:rPr>
          <w:rFonts w:eastAsia="Calibri"/>
          <w:color w:val="000000"/>
          <w:sz w:val="24"/>
          <w:szCs w:val="24"/>
        </w:rPr>
        <w:t>поставщика</w:t>
      </w:r>
      <w:r>
        <w:rPr>
          <w:color w:val="000000"/>
          <w:sz w:val="24"/>
          <w:szCs w:val="24"/>
        </w:rPr>
        <w:t xml:space="preserve"> </w:t>
      </w:r>
      <w:r>
        <w:rPr>
          <w:rFonts w:eastAsia="Calibri"/>
          <w:color w:val="000000"/>
          <w:sz w:val="24"/>
          <w:szCs w:val="24"/>
        </w:rPr>
        <w:t>поставщик</w:t>
      </w:r>
      <w:r>
        <w:rPr>
          <w:color w:val="000000"/>
          <w:sz w:val="24"/>
          <w:szCs w:val="24"/>
        </w:rPr>
        <w:t xml:space="preserve"> представил недостоверную информацию о своем соответствии и (или) соответствии поставляемого товара требованиям, указанным в </w:t>
      </w:r>
      <w:hyperlink w:anchor="Par0">
        <w:r>
          <w:rPr>
            <w:rStyle w:val="Style"/>
            <w:color w:val="000000"/>
            <w:sz w:val="24"/>
            <w:szCs w:val="24"/>
          </w:rPr>
          <w:t>подпункте «</w:t>
        </w:r>
        <w:r>
          <w:rPr>
            <w:rStyle w:val="Style"/>
            <w:rFonts w:eastAsia="Calibri"/>
            <w:color w:val="000000"/>
            <w:sz w:val="24"/>
            <w:szCs w:val="24"/>
          </w:rPr>
          <w:t xml:space="preserve">а» </w:t>
        </w:r>
      </w:hyperlink>
      <w:r>
        <w:rPr>
          <w:color w:val="000000"/>
          <w:sz w:val="24"/>
          <w:szCs w:val="24"/>
        </w:rPr>
        <w:t xml:space="preserve">настоящего пункта, что позволило ему стать победителем определения </w:t>
      </w:r>
      <w:r>
        <w:rPr>
          <w:rFonts w:eastAsia="Calibri"/>
          <w:color w:val="000000"/>
          <w:sz w:val="24"/>
          <w:szCs w:val="24"/>
        </w:rPr>
        <w:t>поставщика</w:t>
      </w:r>
      <w:r>
        <w:rPr>
          <w:color w:val="000000"/>
          <w:sz w:val="24"/>
          <w:szCs w:val="24"/>
        </w:rPr>
        <w:t>. (п.«б» ч.15 ст.95 Закона)</w:t>
      </w:r>
    </w:p>
    <w:p>
      <w:pPr>
        <w:pStyle w:val="NormalWeb"/>
        <w:spacing w:lineRule="atLeast" w:line="261" w:beforeAutospacing="0" w:before="0" w:afterAutospacing="0" w:after="0"/>
        <w:ind w:firstLine="489"/>
        <w:jc w:val="both"/>
        <w:rPr/>
      </w:pPr>
      <w:r>
        <w:rPr>
          <w:color w:val="000000"/>
        </w:rPr>
        <w:t>в) если вследствие реорганизации юридического лица, являющегося подрядчиком (исполнителем), его права и обязанности по такому к</w:t>
      </w:r>
      <w:r>
        <w:rPr/>
        <w:t xml:space="preserve">онтракту перешли к вновь возникшему юридическому лицу, </w:t>
      </w:r>
      <w:r>
        <w:rPr>
          <w:color w:val="000000"/>
        </w:rPr>
        <w:t xml:space="preserve">зарегистрированному на территории иностранного государства, в отношении которого в соответствии с </w:t>
      </w:r>
      <w:hyperlink r:id="rId3">
        <w:r>
          <w:rPr>
            <w:rStyle w:val="Hyperlink"/>
            <w:color w:val="000000"/>
          </w:rPr>
          <w:t>подпунктами "а"</w:t>
        </w:r>
      </w:hyperlink>
      <w:r>
        <w:rPr>
          <w:color w:val="000000"/>
        </w:rPr>
        <w:t xml:space="preserve"> и </w:t>
      </w:r>
      <w:hyperlink r:id="rId4">
        <w:r>
          <w:rPr>
            <w:rStyle w:val="Hyperlink"/>
            <w:color w:val="000000"/>
          </w:rPr>
          <w:t>"б" пункта 1 части 2 статьи 14</w:t>
        </w:r>
      </w:hyperlink>
      <w:r>
        <w:rPr>
          <w:color w:val="000000"/>
        </w:rPr>
        <w:t xml:space="preserve"> настоящего Федерального закона установлены запрет закупок работ, услуг, соответственно выполняемых, оказываемых иностранными лицами, либо ограничение закупок работ, услуг, соответственно выполняемых, оказываемых иностранными лицами, и подрядчик (исполнитель) являлся российским лицом, либо в соответствии с </w:t>
      </w:r>
      <w:hyperlink r:id="rId5">
        <w:r>
          <w:rPr>
            <w:rStyle w:val="Hyperlink"/>
            <w:color w:val="000000"/>
          </w:rPr>
          <w:t>подпунктом "в" пункта 1 части 2 статьи 14</w:t>
        </w:r>
      </w:hyperlink>
      <w:r>
        <w:rPr>
          <w:color w:val="000000"/>
        </w:rPr>
        <w:t xml:space="preserve"> настоящего Федерального закона установлено преимущество в отношении работ, услуг, соответственно выполняемых, оказываемых российскими лицами, и подрядчик (исполнитель) являлся российским лицом . (п. «в» ч. 15 ст.95 Закона)</w:t>
      </w:r>
    </w:p>
    <w:p>
      <w:pPr>
        <w:pStyle w:val="Normal"/>
        <w:tabs>
          <w:tab w:val="left" w:pos="284" w:leader="none"/>
          <w:tab w:val="left" w:pos="709" w:leader="none"/>
        </w:tabs>
        <w:spacing w:lineRule="auto" w:line="240" w:before="120" w:after="0"/>
        <w:ind w:firstLine="567"/>
        <w:rPr>
          <w:color w:val="000000"/>
        </w:rPr>
      </w:pPr>
      <w:r>
        <w:rPr>
          <w:rFonts w:eastAsia="Calibri"/>
          <w:color w:val="000000"/>
          <w:sz w:val="24"/>
          <w:szCs w:val="24"/>
        </w:rPr>
        <w:t xml:space="preserve">8.2.2.1.2. </w:t>
      </w:r>
      <w:r>
        <w:rPr>
          <w:color w:val="000000"/>
          <w:sz w:val="24"/>
          <w:szCs w:val="24"/>
        </w:rPr>
        <w:t xml:space="preserve">Заказчик </w:t>
      </w:r>
      <w:r>
        <w:rPr>
          <w:b/>
          <w:color w:val="000000"/>
          <w:sz w:val="24"/>
          <w:szCs w:val="24"/>
        </w:rPr>
        <w:t xml:space="preserve">вправе </w:t>
      </w:r>
      <w:r>
        <w:rPr>
          <w:color w:val="000000"/>
          <w:sz w:val="24"/>
          <w:szCs w:val="24"/>
        </w:rPr>
        <w:t>принять решение об одностороннем отказе от исполнения контракта по основаниям, предусмотренным частью 9 статьи 95 Закона, Гражданским кодексом Российской Федерации для одностороннего отказа от исполнения отдельных видов обязательств</w:t>
      </w:r>
      <w:r>
        <w:rPr>
          <w:i/>
          <w:color w:val="000000"/>
          <w:sz w:val="24"/>
          <w:szCs w:val="24"/>
        </w:rPr>
        <w:t>.</w:t>
      </w:r>
      <w:r>
        <w:rPr>
          <w:color w:val="000000"/>
          <w:sz w:val="24"/>
          <w:szCs w:val="24"/>
        </w:rPr>
        <w:t xml:space="preserve"> (ч.9 ст. 95 Закона)</w:t>
      </w:r>
    </w:p>
    <w:p>
      <w:pPr>
        <w:pStyle w:val="Normal"/>
        <w:tabs>
          <w:tab w:val="left" w:pos="284" w:leader="none"/>
          <w:tab w:val="left" w:pos="709" w:leader="none"/>
        </w:tabs>
        <w:spacing w:lineRule="auto" w:line="240" w:before="120" w:after="0"/>
        <w:ind w:firstLine="567"/>
        <w:rPr>
          <w:color w:val="000000"/>
        </w:rPr>
      </w:pPr>
      <w:r>
        <w:rPr>
          <w:rFonts w:eastAsia="Calibri"/>
          <w:color w:val="000000"/>
          <w:sz w:val="24"/>
          <w:szCs w:val="24"/>
        </w:rPr>
        <w:t>8.2.2.1.3. Существенным признается нарушение контракта одной из сторон, которое влечет для другой стороны такой ущерб, что она в значительной степени лишается того, на что была вправе рассчитывать при заключении контракта, в том числе с</w:t>
      </w:r>
      <w:r>
        <w:rPr>
          <w:color w:val="000000"/>
          <w:sz w:val="24"/>
          <w:szCs w:val="24"/>
          <w:lang w:eastAsia="ar-SA"/>
        </w:rPr>
        <w:t>ущественными нарушениями поставщиком условий контракта считаются:</w:t>
      </w:r>
    </w:p>
    <w:p>
      <w:pPr>
        <w:pStyle w:val="Normal"/>
        <w:tabs>
          <w:tab w:val="clear" w:pos="709"/>
          <w:tab w:val="left" w:pos="851" w:leader="none"/>
        </w:tabs>
        <w:spacing w:lineRule="auto" w:line="240" w:before="120" w:after="0"/>
        <w:ind w:firstLine="567"/>
        <w:contextualSpacing/>
        <w:rPr>
          <w:color w:val="000000"/>
        </w:rPr>
      </w:pPr>
      <w:r>
        <w:rPr>
          <w:color w:val="000000"/>
          <w:sz w:val="24"/>
          <w:szCs w:val="24"/>
          <w:lang w:eastAsia="ar-SA"/>
        </w:rPr>
        <w:t>1) поставка товара ненадлежащего качества, при этом недостатки не могут быть устранены в приемлемый для заказчика срок либо являются существенными и неустранимыми;</w:t>
      </w:r>
    </w:p>
    <w:p>
      <w:pPr>
        <w:pStyle w:val="Normal"/>
        <w:tabs>
          <w:tab w:val="clear" w:pos="709"/>
          <w:tab w:val="left" w:pos="567" w:leader="none"/>
          <w:tab w:val="left" w:pos="851" w:leader="none"/>
        </w:tabs>
        <w:spacing w:lineRule="auto" w:line="240" w:before="120" w:after="0"/>
        <w:ind w:firstLine="567"/>
        <w:rPr>
          <w:color w:val="000000"/>
        </w:rPr>
      </w:pPr>
      <w:r>
        <w:rPr>
          <w:color w:val="000000"/>
          <w:sz w:val="24"/>
          <w:szCs w:val="24"/>
          <w:lang w:eastAsia="ar-SA"/>
        </w:rPr>
        <w:t>2) нарушение поставщиком срока поставки товара более чем</w:t>
      </w:r>
      <w:r>
        <w:rPr>
          <w:b w:val="false"/>
          <w:bCs w:val="false"/>
          <w:color w:val="000000"/>
          <w:sz w:val="24"/>
          <w:szCs w:val="24"/>
          <w:shd w:fill="auto" w:val="clear"/>
          <w:lang w:eastAsia="ar-SA"/>
        </w:rPr>
        <w:t xml:space="preserve"> на 3 (три) дня </w:t>
      </w:r>
      <w:r>
        <w:rPr>
          <w:color w:val="000000"/>
          <w:sz w:val="24"/>
          <w:szCs w:val="24"/>
          <w:lang w:eastAsia="ar-SA"/>
        </w:rPr>
        <w:t>по причинам, не зависящим от заказчика;</w:t>
      </w:r>
    </w:p>
    <w:p>
      <w:pPr>
        <w:pStyle w:val="Normal"/>
        <w:tabs>
          <w:tab w:val="left" w:pos="284" w:leader="none"/>
          <w:tab w:val="left" w:pos="709" w:leader="none"/>
        </w:tabs>
        <w:spacing w:lineRule="auto" w:line="240" w:before="120" w:after="0"/>
        <w:ind w:firstLine="567"/>
        <w:rPr>
          <w:color w:val="000000"/>
        </w:rPr>
      </w:pPr>
      <w:r>
        <w:rPr>
          <w:rFonts w:eastAsia="Calibri"/>
          <w:color w:val="000000"/>
          <w:sz w:val="24"/>
          <w:szCs w:val="24"/>
        </w:rPr>
        <w:t xml:space="preserve">8.2.2.1.4. </w:t>
      </w:r>
      <w:r>
        <w:rPr>
          <w:rFonts w:eastAsia="Calibri"/>
          <w:b w:val="false"/>
          <w:bCs w:val="false"/>
          <w:i w:val="false"/>
          <w:iCs w:val="false"/>
          <w:color w:val="000000"/>
          <w:sz w:val="24"/>
          <w:szCs w:val="24"/>
        </w:rPr>
        <w:t>Факты существенных нарушений условий исполнения контракта фиксируются заказчиком/комиссией заказчика посредством составления соответствующего акта и претензионного письма с уведомлением поставщика.</w:t>
      </w:r>
    </w:p>
    <w:p>
      <w:pPr>
        <w:pStyle w:val="Heading1"/>
        <w:keepNext w:val="false"/>
        <w:widowControl w:val="false"/>
        <w:numPr>
          <w:ilvl w:val="0"/>
          <w:numId w:val="0"/>
        </w:numPr>
        <w:tabs>
          <w:tab w:val="clear" w:pos="709"/>
          <w:tab w:val="left" w:pos="0" w:leader="none"/>
        </w:tabs>
        <w:ind w:hanging="0" w:left="0"/>
        <w:jc w:val="both"/>
        <w:rPr>
          <w:color w:val="000000"/>
        </w:rPr>
      </w:pPr>
      <w:r>
        <w:rPr>
          <w:b w:val="false"/>
          <w:bCs w:val="false"/>
          <w:color w:val="000000"/>
          <w:szCs w:val="24"/>
        </w:rPr>
        <w:tab/>
        <w:t xml:space="preserve">8.2.2.2. </w:t>
      </w:r>
      <w:r>
        <w:rPr>
          <w:rFonts w:eastAsia="Calibri"/>
          <w:b w:val="false"/>
          <w:color w:val="000000"/>
          <w:szCs w:val="24"/>
        </w:rPr>
        <w:t>Поставщик</w:t>
      </w:r>
      <w:r>
        <w:rPr>
          <w:b w:val="false"/>
          <w:color w:val="000000"/>
          <w:szCs w:val="24"/>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pPr>
        <w:pStyle w:val="Normal"/>
        <w:tabs>
          <w:tab w:val="left" w:pos="284" w:leader="none"/>
          <w:tab w:val="left" w:pos="709" w:leader="none"/>
        </w:tabs>
        <w:spacing w:lineRule="auto" w:line="240" w:before="120" w:after="0"/>
        <w:ind w:firstLine="567"/>
        <w:contextualSpacing/>
        <w:rPr>
          <w:i/>
          <w:sz w:val="24"/>
          <w:szCs w:val="24"/>
        </w:rPr>
      </w:pPr>
      <w:r>
        <w:rPr>
          <w:i w:val="false"/>
          <w:iCs w:val="false"/>
          <w:color w:val="000000"/>
          <w:sz w:val="24"/>
          <w:szCs w:val="24"/>
        </w:rPr>
        <w:t>8.3.</w:t>
      </w:r>
      <w:r>
        <w:rPr>
          <w:color w:val="000000"/>
          <w:sz w:val="24"/>
          <w:szCs w:val="24"/>
        </w:rPr>
        <w:t xml:space="preserve"> Все разногласия и споры решаются в претензион</w:t>
      </w:r>
      <w:r>
        <w:rPr>
          <w:sz w:val="24"/>
          <w:szCs w:val="24"/>
        </w:rPr>
        <w:t>ном порядке, а при недостижении согласия - в Арбитражном суде Владимирской области.</w:t>
      </w:r>
    </w:p>
    <w:p>
      <w:pPr>
        <w:pStyle w:val="Normal"/>
        <w:tabs>
          <w:tab w:val="left" w:pos="284" w:leader="none"/>
          <w:tab w:val="left" w:pos="709" w:leader="none"/>
        </w:tabs>
        <w:spacing w:lineRule="auto" w:line="240" w:before="120" w:after="0"/>
        <w:ind w:firstLine="567"/>
        <w:contextualSpacing/>
        <w:rPr>
          <w:sz w:val="24"/>
          <w:szCs w:val="24"/>
        </w:rPr>
      </w:pPr>
      <w:r>
        <w:rPr>
          <w:i w:val="false"/>
          <w:iCs w:val="false"/>
          <w:sz w:val="24"/>
          <w:szCs w:val="24"/>
        </w:rPr>
        <w:t>8.4.</w:t>
      </w:r>
      <w:r>
        <w:rPr>
          <w:sz w:val="24"/>
          <w:szCs w:val="24"/>
        </w:rPr>
        <w:t xml:space="preserve"> Вопросы, неурегулированные контрактом, разрешаются в соответствии с действующим законодательством Российской Федерации.</w:t>
      </w:r>
    </w:p>
    <w:p>
      <w:pPr>
        <w:pStyle w:val="Heading1"/>
        <w:keepNext w:val="false"/>
        <w:widowControl w:val="false"/>
        <w:suppressAutoHyphens w:val="true"/>
        <w:bidi w:val="0"/>
        <w:spacing w:lineRule="auto" w:line="240" w:before="240" w:after="0"/>
        <w:ind w:hanging="0" w:left="0"/>
        <w:contextualSpacing/>
        <w:rPr>
          <w:rFonts w:ascii="Times New Roman" w:hAnsi="Times New Roman" w:eastAsia="Times New Roman" w:cs="Times New Roman"/>
          <w:color w:val="auto"/>
          <w:kern w:val="0"/>
          <w:szCs w:val="24"/>
          <w:lang w:val="ru-RU" w:eastAsia="ru-RU" w:bidi="ar-SA"/>
        </w:rPr>
      </w:pPr>
      <w:r>
        <w:rPr>
          <w:rFonts w:eastAsia="Times New Roman" w:cs="Times New Roman"/>
          <w:color w:val="auto"/>
          <w:kern w:val="0"/>
          <w:lang w:val="ru-RU" w:eastAsia="ru-RU" w:bidi="ar-SA"/>
        </w:rPr>
        <w:t>Антикоррупционная оговорка.</w:t>
      </w:r>
    </w:p>
    <w:p>
      <w:pPr>
        <w:pStyle w:val="NormalWeb"/>
        <w:widowControl/>
        <w:suppressAutoHyphens w:val="true"/>
        <w:bidi w:val="0"/>
        <w:spacing w:lineRule="atLeast" w:line="261" w:beforeAutospacing="0" w:before="57" w:afterAutospacing="0" w:after="57"/>
        <w:ind w:firstLine="489"/>
        <w:jc w:val="both"/>
        <w:rPr>
          <w:rFonts w:ascii="Times New Roman" w:hAnsi="Times New Roman" w:eastAsia="Times New Roman" w:cs="Times New Roman"/>
          <w:color w:val="auto"/>
          <w:kern w:val="0"/>
          <w:lang w:val="ru-RU" w:eastAsia="ru-RU" w:bidi="ar-SA"/>
        </w:rPr>
      </w:pPr>
      <w:r>
        <w:rPr>
          <w:rFonts w:eastAsia="Times New Roman" w:cs="Times New Roman"/>
          <w:color w:val="auto"/>
          <w:kern w:val="0"/>
          <w:lang w:val="ru-RU" w:eastAsia="ru-RU" w:bidi="ar-SA"/>
        </w:rPr>
        <w:t>9.1 Стороны Контракта, их аффилированные (взаимосвязанные) лица, работники и посредники, не вправе ни прямо, ни косвенно предлагать и выплачивать денежные средства или иные ценности сотрудникам и представителям другой стороны с целью оказания влияния на их действия и решения по Контракту или получения иных не правомерных преимуществ в связи с его исполнением.</w:t>
      </w:r>
    </w:p>
    <w:p>
      <w:pPr>
        <w:pStyle w:val="NormalWeb"/>
        <w:widowControl/>
        <w:suppressAutoHyphens w:val="true"/>
        <w:bidi w:val="0"/>
        <w:spacing w:lineRule="atLeast" w:line="261" w:beforeAutospacing="0" w:before="57" w:afterAutospacing="0" w:after="57"/>
        <w:ind w:firstLine="489"/>
        <w:jc w:val="both"/>
        <w:rPr>
          <w:rFonts w:ascii="Times New Roman" w:hAnsi="Times New Roman" w:eastAsia="Times New Roman" w:cs="Times New Roman"/>
          <w:color w:val="auto"/>
          <w:kern w:val="0"/>
          <w:lang w:val="ru-RU" w:eastAsia="ru-RU" w:bidi="ar-SA"/>
        </w:rPr>
      </w:pPr>
      <w:r>
        <w:rPr>
          <w:rFonts w:eastAsia="Times New Roman" w:cs="Times New Roman"/>
          <w:color w:val="auto"/>
          <w:kern w:val="0"/>
          <w:lang w:val="ru-RU" w:eastAsia="ru-RU" w:bidi="ar-SA"/>
        </w:rPr>
        <w:t xml:space="preserve">9.2. Для исполнения Контракта не допускается осуществлять действия, квалифицируемые как дача (получение) взятки, коммерческий подкуп, злоупотребление должностным положением, а также действия, нарушающие требования законодательства о противодействии легализации (отмыванию) доходов, полученных преступным путем и иные коррупционные нарушения как в отношениях между сторонами Контракта, так и в отношениях с третьими лицами и государственными органами. </w:t>
      </w:r>
    </w:p>
    <w:p>
      <w:pPr>
        <w:pStyle w:val="NormalWeb"/>
        <w:widowControl/>
        <w:suppressAutoHyphens w:val="true"/>
        <w:bidi w:val="0"/>
        <w:spacing w:lineRule="atLeast" w:line="261" w:beforeAutospacing="0" w:before="57" w:afterAutospacing="0" w:after="57"/>
        <w:ind w:firstLine="489"/>
        <w:jc w:val="both"/>
        <w:rPr>
          <w:rFonts w:ascii="Times New Roman" w:hAnsi="Times New Roman" w:eastAsia="Times New Roman" w:cs="Times New Roman"/>
          <w:color w:val="auto"/>
          <w:kern w:val="0"/>
          <w:lang w:val="ru-RU" w:eastAsia="ru-RU" w:bidi="ar-SA"/>
        </w:rPr>
      </w:pPr>
      <w:r>
        <w:rPr>
          <w:rFonts w:eastAsia="Times New Roman" w:cs="Times New Roman"/>
          <w:color w:val="auto"/>
          <w:kern w:val="0"/>
          <w:lang w:val="ru-RU" w:eastAsia="ru-RU" w:bidi="ar-SA"/>
        </w:rPr>
        <w:t>9.3. В случае возникновения у сторон Контракта реальных оснований полагать о возможном нарушении данных требований она должна письменно уведомить об этом другую сторону вплоть до постановки вопроса о приостановлении исполнения Контрактных обязательств до разрешения сложившейся ситуации.</w:t>
      </w:r>
    </w:p>
    <w:p>
      <w:pPr>
        <w:pStyle w:val="NormalWeb"/>
        <w:widowControl/>
        <w:suppressAutoHyphens w:val="true"/>
        <w:bidi w:val="0"/>
        <w:spacing w:lineRule="atLeast" w:line="261" w:beforeAutospacing="0" w:before="57" w:afterAutospacing="0" w:after="57"/>
        <w:ind w:firstLine="489"/>
        <w:jc w:val="both"/>
        <w:rPr>
          <w:rFonts w:ascii="Times New Roman" w:hAnsi="Times New Roman" w:eastAsia="Times New Roman" w:cs="Times New Roman"/>
          <w:color w:val="auto"/>
          <w:kern w:val="0"/>
          <w:lang w:val="ru-RU" w:eastAsia="ru-RU" w:bidi="ar-SA"/>
        </w:rPr>
      </w:pPr>
      <w:r>
        <w:rPr>
          <w:rFonts w:eastAsia="Times New Roman" w:cs="Times New Roman"/>
          <w:color w:val="auto"/>
          <w:kern w:val="0"/>
          <w:lang w:val="ru-RU" w:eastAsia="ru-RU" w:bidi="ar-SA"/>
        </w:rPr>
        <w:t>9.4. В случае выявления риска коррупционного нарушения по Контракту соответствующая сторона должна в течение 10 дней с момента получения уведомления сообщить другой стороне о принятых мерах по исключению этих рисков с приложением соответствующих подтверждений.</w:t>
      </w:r>
    </w:p>
    <w:p>
      <w:pPr>
        <w:pStyle w:val="Heading1"/>
        <w:keepNext w:val="false"/>
        <w:widowControl w:val="false"/>
        <w:spacing w:lineRule="auto" w:line="240" w:before="240" w:after="0"/>
        <w:ind w:hanging="0"/>
        <w:contextualSpacing/>
        <w:rPr>
          <w:szCs w:val="24"/>
        </w:rPr>
      </w:pPr>
      <w:bookmarkStart w:id="14" w:name="_ref_23030044"/>
      <w:bookmarkEnd w:id="13"/>
      <w:r>
        <w:rPr>
          <w:szCs w:val="24"/>
        </w:rPr>
        <w:t>Заключительные положения</w:t>
      </w:r>
      <w:bookmarkEnd w:id="14"/>
    </w:p>
    <w:p>
      <w:pPr>
        <w:pStyle w:val="Heading2"/>
        <w:numPr>
          <w:ilvl w:val="0"/>
          <w:numId w:val="0"/>
        </w:numPr>
        <w:spacing w:lineRule="auto" w:line="240"/>
        <w:ind w:hanging="0" w:left="0"/>
        <w:rPr>
          <w:sz w:val="24"/>
          <w:szCs w:val="24"/>
        </w:rPr>
      </w:pPr>
      <w:bookmarkStart w:id="15" w:name="_ref_23030047"/>
      <w:r>
        <w:rPr>
          <w:sz w:val="24"/>
          <w:szCs w:val="24"/>
        </w:rPr>
        <w:t xml:space="preserve">10.1. </w:t>
      </w:r>
      <w:bookmarkEnd w:id="15"/>
      <w:r>
        <w:rPr>
          <w:rFonts w:eastAsia="Times New Roman" w:cs="Times New Roman"/>
          <w:color w:val="auto"/>
          <w:kern w:val="0"/>
          <w:sz w:val="24"/>
          <w:szCs w:val="24"/>
          <w:lang w:val="ru-RU" w:eastAsia="ru-RU" w:bidi="ar-SA"/>
        </w:rPr>
        <w:t xml:space="preserve">Контракт вступает в силу и становится обязательным для сторон с момента его заключения и действует  до полного исполнения обязательств сторонами. </w:t>
      </w:r>
    </w:p>
    <w:p>
      <w:pPr>
        <w:pStyle w:val="Heading2"/>
        <w:numPr>
          <w:ilvl w:val="0"/>
          <w:numId w:val="0"/>
        </w:numPr>
        <w:spacing w:lineRule="auto" w:line="240"/>
        <w:ind w:hanging="0" w:left="0"/>
        <w:rPr>
          <w:sz w:val="24"/>
          <w:szCs w:val="24"/>
        </w:rPr>
      </w:pPr>
      <w:bookmarkStart w:id="16" w:name="_ref_23030052"/>
      <w:r>
        <w:rPr>
          <w:sz w:val="24"/>
          <w:szCs w:val="24"/>
        </w:rPr>
        <w:t xml:space="preserve">10.2. Перечень приложений к </w:t>
      </w:r>
      <w:bookmarkEnd w:id="16"/>
      <w:r>
        <w:rPr>
          <w:sz w:val="24"/>
          <w:szCs w:val="24"/>
        </w:rPr>
        <w:t>Контракту:</w:t>
      </w:r>
    </w:p>
    <w:p>
      <w:pPr>
        <w:pStyle w:val="Heading3"/>
        <w:numPr>
          <w:ilvl w:val="0"/>
          <w:numId w:val="0"/>
        </w:numPr>
        <w:spacing w:lineRule="auto" w:line="240"/>
        <w:ind w:hanging="0" w:left="0"/>
        <w:rPr>
          <w:i w:val="false"/>
          <w:iCs w:val="false"/>
        </w:rPr>
      </w:pPr>
      <w:bookmarkStart w:id="17" w:name="_ref_23073857"/>
      <w:r>
        <w:rPr>
          <w:i w:val="false"/>
          <w:iCs w:val="false"/>
          <w:sz w:val="24"/>
          <w:szCs w:val="24"/>
        </w:rPr>
        <w:t xml:space="preserve">10.2.1. </w:t>
      </w:r>
      <w:bookmarkEnd w:id="17"/>
      <w:r>
        <w:rPr>
          <w:rFonts w:eastAsia="Times New Roman" w:cs="Times New Roman"/>
          <w:i w:val="false"/>
          <w:iCs w:val="false"/>
          <w:color w:val="auto"/>
          <w:kern w:val="0"/>
          <w:sz w:val="24"/>
          <w:szCs w:val="24"/>
          <w:lang w:val="ru-RU" w:eastAsia="ru-RU" w:bidi="ar-SA"/>
        </w:rPr>
        <w:t>Приложение № 1  «Спецификация»</w:t>
      </w:r>
    </w:p>
    <w:p>
      <w:pPr>
        <w:pStyle w:val="Heading1"/>
        <w:keepNext w:val="false"/>
        <w:widowControl w:val="false"/>
        <w:spacing w:lineRule="auto" w:line="240" w:before="240" w:after="0"/>
        <w:ind w:hanging="0"/>
        <w:contextualSpacing/>
        <w:rPr>
          <w:szCs w:val="24"/>
        </w:rPr>
      </w:pPr>
      <w:bookmarkStart w:id="18" w:name="_ref_23191882"/>
      <w:r>
        <w:rPr>
          <w:szCs w:val="24"/>
        </w:rPr>
        <w:t>Адреса и реквизиты сторон</w:t>
      </w:r>
      <w:bookmarkEnd w:id="18"/>
    </w:p>
    <w:tbl>
      <w:tblPr>
        <w:tblW w:w="5000" w:type="pct"/>
        <w:jc w:val="left"/>
        <w:tblInd w:w="101" w:type="dxa"/>
        <w:tblLayout w:type="fixed"/>
        <w:tblCellMar>
          <w:top w:w="0" w:type="dxa"/>
          <w:left w:w="108" w:type="dxa"/>
          <w:bottom w:w="0" w:type="dxa"/>
          <w:right w:w="108" w:type="dxa"/>
        </w:tblCellMar>
        <w:tblLook w:val="00a0"/>
      </w:tblPr>
      <w:tblGrid>
        <w:gridCol w:w="4908"/>
        <w:gridCol w:w="5013"/>
      </w:tblGrid>
      <w:tr>
        <w:trPr/>
        <w:tc>
          <w:tcPr>
            <w:tcW w:w="4908" w:type="dxa"/>
            <w:tcBorders>
              <w:top w:val="single" w:sz="6" w:space="0" w:color="000000"/>
              <w:left w:val="single" w:sz="6" w:space="0" w:color="000000"/>
              <w:bottom w:val="single" w:sz="6" w:space="0" w:color="000000"/>
              <w:right w:val="single" w:sz="6" w:space="0" w:color="000000"/>
            </w:tcBorders>
          </w:tcPr>
          <w:p>
            <w:pPr>
              <w:pStyle w:val="Normalunindented"/>
              <w:keepNext w:val="true"/>
              <w:spacing w:lineRule="auto" w:line="240" w:before="120" w:after="120"/>
              <w:jc w:val="center"/>
              <w:rPr/>
            </w:pPr>
            <w:r>
              <w:rPr>
                <w:b/>
              </w:rPr>
              <w:t>Заказчик</w:t>
            </w:r>
          </w:p>
        </w:tc>
        <w:tc>
          <w:tcPr>
            <w:tcW w:w="5013" w:type="dxa"/>
            <w:tcBorders>
              <w:top w:val="single" w:sz="6" w:space="0" w:color="000000"/>
              <w:left w:val="single" w:sz="6" w:space="0" w:color="000000"/>
              <w:bottom w:val="single" w:sz="6" w:space="0" w:color="000000"/>
              <w:right w:val="single" w:sz="6" w:space="0" w:color="000000"/>
            </w:tcBorders>
          </w:tcPr>
          <w:p>
            <w:pPr>
              <w:pStyle w:val="Normalunindented"/>
              <w:keepNext w:val="true"/>
              <w:spacing w:lineRule="auto" w:line="240" w:before="120" w:after="120"/>
              <w:jc w:val="center"/>
              <w:rPr/>
            </w:pPr>
            <w:r>
              <w:rPr>
                <w:b/>
              </w:rPr>
              <w:t>Поставщик</w:t>
            </w:r>
          </w:p>
        </w:tc>
      </w:tr>
      <w:tr>
        <w:trPr/>
        <w:tc>
          <w:tcPr>
            <w:tcW w:w="4908" w:type="dxa"/>
            <w:tcBorders>
              <w:top w:val="single" w:sz="6" w:space="0" w:color="000000"/>
              <w:left w:val="single" w:sz="6" w:space="0" w:color="000000"/>
              <w:bottom w:val="single" w:sz="6" w:space="0" w:color="000000"/>
              <w:right w:val="single" w:sz="6" w:space="0" w:color="000000"/>
            </w:tcBorders>
          </w:tcPr>
          <w:p>
            <w:pPr>
              <w:pStyle w:val="Normalunindented"/>
              <w:keepNext w:val="true"/>
              <w:spacing w:lineRule="auto" w:line="240" w:before="63" w:after="63"/>
              <w:jc w:val="left"/>
              <w:rPr/>
            </w:pPr>
            <w:r>
              <w:rPr>
                <w:b/>
                <w:bCs/>
              </w:rPr>
              <w:t>Министерство культуры</w:t>
              <w:br/>
              <w:t>Владимирской области</w:t>
            </w:r>
          </w:p>
          <w:p>
            <w:pPr>
              <w:pStyle w:val="Normalunindented"/>
              <w:spacing w:lineRule="auto" w:line="240" w:before="63" w:after="63"/>
              <w:jc w:val="left"/>
              <w:rPr/>
            </w:pPr>
            <w:r>
              <w:rPr/>
              <w:t>Адрес: 600000, г. Владимир, ул. Музейная, 3</w:t>
            </w:r>
          </w:p>
          <w:p>
            <w:pPr>
              <w:pStyle w:val="Normalunindented"/>
              <w:spacing w:lineRule="auto" w:line="240" w:before="63" w:after="63"/>
              <w:jc w:val="left"/>
              <w:rPr/>
            </w:pPr>
            <w:r>
              <w:rPr/>
              <w:t>ИНН: 3329009299</w:t>
            </w:r>
          </w:p>
          <w:p>
            <w:pPr>
              <w:pStyle w:val="Normalunindented"/>
              <w:spacing w:lineRule="auto" w:line="240" w:before="63" w:after="63"/>
              <w:jc w:val="left"/>
              <w:rPr/>
            </w:pPr>
            <w:r>
              <w:rPr/>
              <w:t>КПП 332901001</w:t>
            </w:r>
          </w:p>
          <w:p>
            <w:pPr>
              <w:pStyle w:val="Normalunindented"/>
              <w:spacing w:lineRule="auto" w:line="240" w:before="63" w:after="63"/>
              <w:jc w:val="left"/>
              <w:rPr/>
            </w:pPr>
            <w:r>
              <w:rPr/>
              <w:t>ОКЦ № 1 ВВГУ Банка России//УФК по Владимирской области, г Владимир</w:t>
            </w:r>
          </w:p>
          <w:p>
            <w:pPr>
              <w:pStyle w:val="Normalunindented"/>
              <w:spacing w:lineRule="auto" w:line="240" w:before="63" w:after="63"/>
              <w:jc w:val="left"/>
              <w:rPr/>
            </w:pPr>
            <w:r>
              <w:rPr/>
              <w:t>Единый казначейский счет 40102810645370000111</w:t>
            </w:r>
          </w:p>
          <w:p>
            <w:pPr>
              <w:pStyle w:val="Normalunindented"/>
              <w:spacing w:lineRule="auto" w:line="240" w:before="63" w:after="63"/>
              <w:jc w:val="left"/>
              <w:rPr/>
            </w:pPr>
            <w:r>
              <w:rPr/>
              <w:t>Счет получателя 03221643170000002800</w:t>
            </w:r>
          </w:p>
          <w:p>
            <w:pPr>
              <w:pStyle w:val="Normalunindented"/>
              <w:spacing w:lineRule="auto" w:line="240" w:before="63" w:after="63"/>
              <w:jc w:val="left"/>
              <w:rPr/>
            </w:pPr>
            <w:r>
              <w:rPr/>
              <w:t>БИК ТОФК 042202111</w:t>
            </w:r>
          </w:p>
          <w:p>
            <w:pPr>
              <w:pStyle w:val="Normalunindented"/>
              <w:spacing w:lineRule="auto" w:line="240" w:before="63" w:after="63"/>
              <w:jc w:val="left"/>
              <w:rPr/>
            </w:pPr>
            <w:r>
              <w:rPr/>
              <w:t>ОГРН 1033303412340</w:t>
            </w:r>
          </w:p>
          <w:p>
            <w:pPr>
              <w:pStyle w:val="Normalunindented"/>
              <w:spacing w:lineRule="auto" w:line="240" w:before="63" w:after="63"/>
              <w:jc w:val="left"/>
              <w:rPr/>
            </w:pPr>
            <w:r>
              <w:rPr/>
              <w:t>л/с 03282003920</w:t>
            </w:r>
          </w:p>
          <w:p>
            <w:pPr>
              <w:pStyle w:val="Normalunindented"/>
              <w:spacing w:lineRule="auto" w:line="240" w:before="63" w:after="63"/>
              <w:jc w:val="left"/>
              <w:rPr/>
            </w:pPr>
            <w:r>
              <w:rPr/>
              <w:t>zakupki@mincult33.ru</w:t>
            </w:r>
          </w:p>
          <w:p>
            <w:pPr>
              <w:pStyle w:val="Normalunindented"/>
              <w:spacing w:lineRule="auto" w:line="240" w:before="63" w:after="63"/>
              <w:jc w:val="left"/>
              <w:rPr/>
            </w:pPr>
            <w:r>
              <w:rPr/>
              <w:t>84922777465 (доб. 931)</w:t>
            </w:r>
          </w:p>
        </w:tc>
        <w:tc>
          <w:tcPr>
            <w:tcW w:w="5013" w:type="dxa"/>
            <w:tcBorders>
              <w:top w:val="single" w:sz="6" w:space="0" w:color="000000"/>
              <w:left w:val="single" w:sz="6" w:space="0" w:color="000000"/>
              <w:bottom w:val="single" w:sz="6" w:space="0" w:color="000000"/>
              <w:right w:val="single" w:sz="6" w:space="0" w:color="000000"/>
            </w:tcBorders>
          </w:tcPr>
          <w:p>
            <w:pPr>
              <w:pStyle w:val="Normalunindented"/>
              <w:keepNext w:val="true"/>
              <w:spacing w:lineRule="auto" w:line="240" w:before="120" w:after="120"/>
              <w:jc w:val="left"/>
              <w:rPr/>
            </w:pPr>
            <w:r>
              <w:rPr>
                <w:u w:val="single"/>
              </w:rPr>
              <w:t xml:space="preserve"> </w:t>
            </w:r>
            <w:r>
              <w:rPr/>
              <w:br/>
              <w:t>Место нахождения:</w:t>
            </w:r>
          </w:p>
          <w:p>
            <w:pPr>
              <w:pStyle w:val="Normalunindented"/>
              <w:spacing w:lineRule="auto" w:line="240"/>
              <w:rPr/>
            </w:pPr>
            <w:r>
              <w:rPr/>
            </w:r>
          </w:p>
          <w:p>
            <w:pPr>
              <w:pStyle w:val="Normalunindented"/>
              <w:spacing w:lineRule="auto" w:line="240"/>
              <w:rPr/>
            </w:pPr>
            <w:r>
              <w:rPr/>
              <w:t>Почтовый адрес:</w:t>
            </w:r>
          </w:p>
          <w:p>
            <w:pPr>
              <w:pStyle w:val="Normalunindented"/>
              <w:spacing w:lineRule="auto" w:line="240"/>
              <w:rPr/>
            </w:pPr>
            <w:r>
              <w:rPr/>
            </w:r>
          </w:p>
          <w:p>
            <w:pPr>
              <w:pStyle w:val="Normalunindented"/>
              <w:spacing w:lineRule="auto" w:line="240"/>
              <w:jc w:val="left"/>
              <w:rPr/>
            </w:pPr>
            <w:r>
              <w:rPr/>
              <w:t>Телефон</w:t>
            </w:r>
          </w:p>
          <w:p>
            <w:pPr>
              <w:pStyle w:val="Normalunindented"/>
              <w:spacing w:lineRule="auto" w:line="240"/>
              <w:jc w:val="left"/>
              <w:rPr/>
            </w:pPr>
            <w:r>
              <w:rPr/>
            </w:r>
          </w:p>
          <w:p>
            <w:pPr>
              <w:pStyle w:val="Normalunindented"/>
              <w:spacing w:lineRule="auto" w:line="240"/>
              <w:jc w:val="left"/>
              <w:rPr/>
            </w:pPr>
            <w:r>
              <w:rPr/>
              <w:t>Факс</w:t>
            </w:r>
          </w:p>
          <w:p>
            <w:pPr>
              <w:pStyle w:val="Normalunindented"/>
              <w:spacing w:lineRule="auto" w:line="240"/>
              <w:jc w:val="left"/>
              <w:rPr/>
            </w:pPr>
            <w:r>
              <w:rPr/>
            </w:r>
          </w:p>
          <w:p>
            <w:pPr>
              <w:pStyle w:val="Normalunindented"/>
              <w:spacing w:lineRule="auto" w:line="240" w:before="120" w:after="120"/>
              <w:jc w:val="left"/>
              <w:rPr/>
            </w:pPr>
            <w:r>
              <w:rPr/>
              <w:t>Электронная почта</w:t>
              <w:br/>
              <w:t>ОГРН</w:t>
              <w:br/>
              <w:t>ИНН</w:t>
              <w:br/>
              <w:t>КПП</w:t>
              <w:br/>
              <w:t>Р/с</w:t>
              <w:br/>
              <w:t>в</w:t>
              <w:br/>
              <w:t>К/с</w:t>
              <w:br/>
              <w:t>БИК</w:t>
            </w:r>
          </w:p>
        </w:tc>
      </w:tr>
      <w:tr>
        <w:trPr/>
        <w:tc>
          <w:tcPr>
            <w:tcW w:w="4908" w:type="dxa"/>
            <w:tcBorders>
              <w:top w:val="single" w:sz="6" w:space="0" w:color="000000"/>
              <w:left w:val="single" w:sz="6" w:space="0" w:color="000000"/>
              <w:bottom w:val="single" w:sz="6" w:space="0" w:color="000000"/>
              <w:right w:val="single" w:sz="6" w:space="0" w:color="000000"/>
            </w:tcBorders>
          </w:tcPr>
          <w:p>
            <w:pPr>
              <w:pStyle w:val="Normalunindented"/>
              <w:keepNext w:val="true"/>
              <w:spacing w:lineRule="auto" w:line="240" w:before="63" w:after="63"/>
              <w:jc w:val="left"/>
              <w:rPr/>
            </w:pPr>
            <w:r>
              <w:rPr/>
              <w:t>Министр культуры</w:t>
            </w:r>
          </w:p>
          <w:p>
            <w:pPr>
              <w:pStyle w:val="Normalunindented"/>
              <w:spacing w:lineRule="auto" w:line="240" w:before="63" w:after="63"/>
              <w:jc w:val="left"/>
              <w:rPr/>
            </w:pPr>
            <w:r>
              <w:rPr/>
            </w:r>
          </w:p>
          <w:p>
            <w:pPr>
              <w:pStyle w:val="Normalunindented"/>
              <w:spacing w:lineRule="auto" w:line="240" w:before="63" w:after="63"/>
              <w:jc w:val="left"/>
              <w:rPr/>
            </w:pPr>
            <w:r>
              <w:rPr/>
              <w:t>___________  О.В. Демина</w:t>
            </w:r>
          </w:p>
          <w:p>
            <w:pPr>
              <w:pStyle w:val="Normalunindented"/>
              <w:spacing w:lineRule="auto" w:line="240" w:before="63" w:after="63"/>
              <w:jc w:val="left"/>
              <w:rPr/>
            </w:pPr>
            <w:r>
              <w:rPr/>
              <w:t>М.П.</w:t>
            </w:r>
          </w:p>
        </w:tc>
        <w:tc>
          <w:tcPr>
            <w:tcW w:w="5013" w:type="dxa"/>
            <w:tcBorders>
              <w:top w:val="single" w:sz="6" w:space="0" w:color="000000"/>
              <w:left w:val="single" w:sz="6" w:space="0" w:color="000000"/>
              <w:bottom w:val="single" w:sz="6" w:space="0" w:color="000000"/>
              <w:right w:val="single" w:sz="6" w:space="0" w:color="000000"/>
            </w:tcBorders>
          </w:tcPr>
          <w:p>
            <w:pPr>
              <w:pStyle w:val="Normalunindented"/>
              <w:keepNext w:val="true"/>
              <w:spacing w:lineRule="auto" w:line="240" w:before="120" w:after="120"/>
              <w:jc w:val="left"/>
              <w:rPr/>
            </w:pPr>
            <w:r>
              <w:rPr/>
              <w:t>от имени Поставщик:</w:t>
              <w:br/>
            </w:r>
            <w:r>
              <w:rPr>
                <w:u w:val="single"/>
              </w:rPr>
              <w:t xml:space="preserve"> (должность) </w:t>
            </w:r>
            <w:r>
              <w:rPr/>
              <w:br/>
            </w:r>
            <w:r>
              <w:rPr>
                <w:u w:val="single"/>
              </w:rPr>
              <w:t xml:space="preserve"> (подпись) </w:t>
            </w:r>
            <w:r>
              <w:rPr/>
              <w:t>/</w:t>
            </w:r>
            <w:r>
              <w:rPr>
                <w:u w:val="single"/>
              </w:rPr>
              <w:t xml:space="preserve"> (Ф.И.О.) </w:t>
            </w:r>
            <w:r>
              <w:rPr/>
              <w:t>/</w:t>
              <w:br/>
              <w:t>М.П.</w:t>
            </w:r>
          </w:p>
        </w:tc>
      </w:tr>
    </w:tbl>
    <w:p>
      <w:pPr>
        <w:sectPr>
          <w:footerReference w:type="even" r:id="rId6"/>
          <w:footerReference w:type="default" r:id="rId7"/>
          <w:footerReference w:type="first" r:id="rId8"/>
          <w:type w:val="nextPage"/>
          <w:pgSz w:w="11906" w:h="16838"/>
          <w:pgMar w:left="1418" w:right="567" w:gutter="0" w:header="0" w:top="1134" w:footer="720" w:bottom="1134"/>
          <w:pgNumType w:start="1" w:fmt="decimal"/>
          <w:formProt w:val="false"/>
          <w:textDirection w:val="lrTb"/>
          <w:docGrid w:type="default" w:linePitch="299" w:charSpace="0"/>
        </w:sectPr>
      </w:pPr>
      <w:r>
        <w:br w:type="page"/>
      </w:r>
    </w:p>
    <w:p>
      <w:pPr>
        <w:pStyle w:val="Normal"/>
        <w:spacing w:lineRule="auto" w:line="240" w:before="0" w:after="120"/>
        <w:jc w:val="right"/>
        <w:rPr/>
      </w:pPr>
      <w:r>
        <w:rPr/>
        <w:t>Приложение № 1</w:t>
        <w:br/>
        <w:t xml:space="preserve">к контракту </w:t>
        <w:br/>
        <w:t>№ МЗС/2  от "____" _______________ 2026 г.</w:t>
      </w:r>
    </w:p>
    <w:p>
      <w:pPr>
        <w:pStyle w:val="Normal"/>
        <w:numPr>
          <w:ilvl w:val="0"/>
          <w:numId w:val="0"/>
        </w:numPr>
        <w:spacing w:lineRule="auto" w:line="240" w:before="0" w:after="0"/>
        <w:ind w:firstLine="708" w:left="0"/>
        <w:contextualSpacing/>
        <w:jc w:val="center"/>
        <w:outlineLvl w:val="0"/>
        <w:rPr>
          <w:rFonts w:eastAsia="Times New Roman"/>
          <w:b/>
          <w:spacing w:val="5"/>
          <w:kern w:val="2"/>
          <w:sz w:val="24"/>
          <w:szCs w:val="24"/>
          <w:lang w:val="ru-RU"/>
        </w:rPr>
      </w:pPr>
      <w:r>
        <w:rPr>
          <w:rFonts w:eastAsia="Times New Roman"/>
          <w:b/>
          <w:spacing w:val="5"/>
          <w:kern w:val="2"/>
          <w:sz w:val="24"/>
          <w:szCs w:val="24"/>
          <w:lang w:val="ru-RU"/>
        </w:rPr>
      </w:r>
    </w:p>
    <w:p>
      <w:pPr>
        <w:pStyle w:val="Normal"/>
        <w:numPr>
          <w:ilvl w:val="0"/>
          <w:numId w:val="0"/>
        </w:numPr>
        <w:spacing w:lineRule="auto" w:line="240" w:before="0" w:after="0"/>
        <w:ind w:firstLine="708" w:left="0"/>
        <w:contextualSpacing/>
        <w:jc w:val="center"/>
        <w:outlineLvl w:val="0"/>
        <w:rPr>
          <w:rFonts w:eastAsia="Times New Roman"/>
          <w:b/>
          <w:spacing w:val="5"/>
          <w:kern w:val="2"/>
          <w:sz w:val="24"/>
          <w:szCs w:val="24"/>
          <w:lang w:val="ru-RU"/>
        </w:rPr>
      </w:pPr>
      <w:r>
        <w:rPr>
          <w:rFonts w:eastAsia="Times New Roman"/>
          <w:b/>
          <w:spacing w:val="5"/>
          <w:kern w:val="2"/>
          <w:sz w:val="24"/>
          <w:szCs w:val="24"/>
          <w:lang w:val="ru-RU"/>
        </w:rPr>
        <w:t>СПЕЦИФИКАЦИЯ</w:t>
      </w:r>
    </w:p>
    <w:p>
      <w:pPr>
        <w:pStyle w:val="Normal"/>
        <w:numPr>
          <w:ilvl w:val="0"/>
          <w:numId w:val="0"/>
        </w:numPr>
        <w:spacing w:lineRule="auto" w:line="240" w:before="0" w:after="0"/>
        <w:ind w:firstLine="708" w:left="0"/>
        <w:contextualSpacing/>
        <w:jc w:val="center"/>
        <w:outlineLvl w:val="0"/>
        <w:rPr>
          <w:rFonts w:eastAsia="Times New Roman"/>
          <w:b/>
          <w:spacing w:val="5"/>
          <w:kern w:val="2"/>
          <w:sz w:val="24"/>
          <w:szCs w:val="24"/>
          <w:lang w:val="ru-RU"/>
        </w:rPr>
      </w:pPr>
      <w:r>
        <w:rPr>
          <w:rFonts w:eastAsia="Times New Roman"/>
          <w:b/>
          <w:spacing w:val="5"/>
          <w:kern w:val="2"/>
          <w:sz w:val="24"/>
          <w:szCs w:val="24"/>
          <w:lang w:val="ru-RU"/>
        </w:rPr>
      </w:r>
    </w:p>
    <w:p>
      <w:pPr>
        <w:pStyle w:val="Normal"/>
        <w:rPr/>
      </w:pPr>
      <w:bookmarkStart w:id="19" w:name="_ref_31214292_Копия_1"/>
      <w:bookmarkEnd w:id="19"/>
      <w:r>
        <w:rPr/>
        <w:t>Поставщик обязуется по заданию Заказчика поставить следующий товар, и передать в установленные сроки Заказчику:</w:t>
      </w:r>
    </w:p>
    <w:p>
      <w:pPr>
        <w:pStyle w:val="Normal"/>
        <w:numPr>
          <w:ilvl w:val="0"/>
          <w:numId w:val="0"/>
        </w:numPr>
        <w:spacing w:lineRule="auto" w:line="240" w:before="0" w:after="0"/>
        <w:ind w:hanging="0" w:left="-426" w:right="0"/>
        <w:outlineLvl w:val="0"/>
        <w:rPr>
          <w:rFonts w:eastAsia="Times New Roman"/>
          <w:sz w:val="24"/>
          <w:szCs w:val="24"/>
        </w:rPr>
      </w:pPr>
      <w:r>
        <w:rPr>
          <w:rFonts w:eastAsia="Times New Roman"/>
          <w:sz w:val="24"/>
          <w:szCs w:val="24"/>
        </w:rPr>
      </w:r>
    </w:p>
    <w:tbl>
      <w:tblPr>
        <w:tblW w:w="9360" w:type="dxa"/>
        <w:jc w:val="left"/>
        <w:tblInd w:w="101" w:type="dxa"/>
        <w:tblLayout w:type="fixed"/>
        <w:tblCellMar>
          <w:top w:w="0" w:type="dxa"/>
          <w:left w:w="108" w:type="dxa"/>
          <w:bottom w:w="0" w:type="dxa"/>
          <w:right w:w="108" w:type="dxa"/>
        </w:tblCellMar>
        <w:tblLook w:val="00a0"/>
      </w:tblPr>
      <w:tblGrid>
        <w:gridCol w:w="614"/>
        <w:gridCol w:w="1486"/>
        <w:gridCol w:w="899"/>
        <w:gridCol w:w="734"/>
        <w:gridCol w:w="677"/>
        <w:gridCol w:w="795"/>
        <w:gridCol w:w="1304"/>
        <w:gridCol w:w="2851"/>
      </w:tblGrid>
      <w:tr>
        <w:trPr>
          <w:trHeight w:val="1470" w:hRule="atLeast"/>
        </w:trPr>
        <w:tc>
          <w:tcPr>
            <w:tcW w:w="614" w:type="dxa"/>
            <w:tcBorders>
              <w:top w:val="single" w:sz="6" w:space="0" w:color="000000"/>
              <w:left w:val="single" w:sz="6" w:space="0" w:color="000000"/>
              <w:bottom w:val="single" w:sz="6" w:space="0" w:color="000000"/>
              <w:right w:val="single" w:sz="6" w:space="0" w:color="000000"/>
            </w:tcBorders>
            <w:vAlign w:val="center"/>
          </w:tcPr>
          <w:p>
            <w:pPr>
              <w:pStyle w:val="Normalunindented"/>
              <w:keepNext w:val="true"/>
              <w:spacing w:lineRule="auto" w:line="240" w:before="120" w:after="120"/>
              <w:jc w:val="center"/>
              <w:rPr>
                <w:sz w:val="20"/>
                <w:szCs w:val="20"/>
              </w:rPr>
            </w:pPr>
            <w:r>
              <w:rPr>
                <w:sz w:val="20"/>
                <w:szCs w:val="20"/>
              </w:rPr>
              <w:t>№</w:t>
            </w:r>
          </w:p>
        </w:tc>
        <w:tc>
          <w:tcPr>
            <w:tcW w:w="1486" w:type="dxa"/>
            <w:tcBorders>
              <w:top w:val="single" w:sz="6" w:space="0" w:color="000000"/>
              <w:left w:val="single" w:sz="6" w:space="0" w:color="000000"/>
              <w:bottom w:val="single" w:sz="6" w:space="0" w:color="000000"/>
              <w:right w:val="single" w:sz="6" w:space="0" w:color="000000"/>
            </w:tcBorders>
            <w:vAlign w:val="center"/>
          </w:tcPr>
          <w:p>
            <w:pPr>
              <w:pStyle w:val="Normal"/>
              <w:spacing w:before="120" w:after="120"/>
              <w:ind w:hanging="0" w:left="0"/>
              <w:jc w:val="center"/>
              <w:rPr>
                <w:sz w:val="20"/>
                <w:szCs w:val="20"/>
              </w:rPr>
            </w:pPr>
            <w:r>
              <w:rPr>
                <w:sz w:val="20"/>
                <w:szCs w:val="20"/>
              </w:rPr>
              <w:t>Наименование Товара</w:t>
            </w:r>
          </w:p>
        </w:tc>
        <w:tc>
          <w:tcPr>
            <w:tcW w:w="899" w:type="dxa"/>
            <w:tcBorders>
              <w:top w:val="single" w:sz="6" w:space="0" w:color="000000"/>
              <w:left w:val="single" w:sz="6" w:space="0" w:color="000000"/>
              <w:bottom w:val="single" w:sz="6" w:space="0" w:color="000000"/>
              <w:right w:val="single" w:sz="6" w:space="0" w:color="000000"/>
            </w:tcBorders>
            <w:vAlign w:val="center"/>
          </w:tcPr>
          <w:p>
            <w:pPr>
              <w:pStyle w:val="Normal"/>
              <w:keepNext w:val="true"/>
              <w:spacing w:before="120" w:after="120"/>
              <w:ind w:hanging="0" w:left="0"/>
              <w:jc w:val="center"/>
              <w:rPr>
                <w:sz w:val="20"/>
                <w:szCs w:val="20"/>
              </w:rPr>
            </w:pPr>
            <w:r>
              <w:rPr>
                <w:sz w:val="20"/>
                <w:szCs w:val="20"/>
              </w:rPr>
              <w:t>Страна</w:t>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Normal"/>
              <w:keepNext w:val="true"/>
              <w:spacing w:before="120" w:after="120"/>
              <w:ind w:hanging="0" w:left="0"/>
              <w:jc w:val="center"/>
              <w:rPr>
                <w:sz w:val="20"/>
                <w:szCs w:val="20"/>
              </w:rPr>
            </w:pPr>
            <w:r>
              <w:rPr>
                <w:sz w:val="20"/>
                <w:szCs w:val="20"/>
              </w:rPr>
              <w:t>Ед. изм.</w:t>
            </w:r>
          </w:p>
        </w:tc>
        <w:tc>
          <w:tcPr>
            <w:tcW w:w="677" w:type="dxa"/>
            <w:tcBorders>
              <w:top w:val="single" w:sz="6" w:space="0" w:color="000000"/>
              <w:left w:val="single" w:sz="6" w:space="0" w:color="000000"/>
              <w:bottom w:val="single" w:sz="6" w:space="0" w:color="000000"/>
              <w:right w:val="single" w:sz="6" w:space="0" w:color="000000"/>
            </w:tcBorders>
            <w:vAlign w:val="center"/>
          </w:tcPr>
          <w:p>
            <w:pPr>
              <w:pStyle w:val="Normal"/>
              <w:keepNext w:val="true"/>
              <w:spacing w:before="120" w:after="120"/>
              <w:ind w:hanging="0" w:left="0"/>
              <w:jc w:val="center"/>
              <w:rPr>
                <w:sz w:val="20"/>
                <w:szCs w:val="20"/>
              </w:rPr>
            </w:pPr>
            <w:r>
              <w:rPr>
                <w:sz w:val="20"/>
                <w:szCs w:val="20"/>
              </w:rPr>
              <w:t>Кол-во</w:t>
            </w:r>
          </w:p>
        </w:tc>
        <w:tc>
          <w:tcPr>
            <w:tcW w:w="795" w:type="dxa"/>
            <w:tcBorders>
              <w:top w:val="single" w:sz="6" w:space="0" w:color="000000"/>
              <w:left w:val="single" w:sz="6" w:space="0" w:color="000000"/>
              <w:bottom w:val="single" w:sz="6" w:space="0" w:color="000000"/>
              <w:right w:val="single" w:sz="6" w:space="0" w:color="000000"/>
            </w:tcBorders>
            <w:vAlign w:val="center"/>
          </w:tcPr>
          <w:p>
            <w:pPr>
              <w:pStyle w:val="Normal"/>
              <w:tabs>
                <w:tab w:val="clear" w:pos="709"/>
                <w:tab w:val="left" w:pos="-1620" w:leader="none"/>
              </w:tabs>
              <w:spacing w:before="120" w:after="120"/>
              <w:ind w:hanging="0" w:left="0"/>
              <w:jc w:val="center"/>
              <w:rPr>
                <w:sz w:val="20"/>
                <w:szCs w:val="20"/>
              </w:rPr>
            </w:pPr>
            <w:r>
              <w:rPr>
                <w:sz w:val="20"/>
                <w:szCs w:val="20"/>
              </w:rPr>
              <w:t>Цена за ед. изм., руб.</w:t>
            </w:r>
          </w:p>
        </w:tc>
        <w:tc>
          <w:tcPr>
            <w:tcW w:w="1304" w:type="dxa"/>
            <w:tcBorders>
              <w:top w:val="single" w:sz="6" w:space="0" w:color="000000"/>
              <w:left w:val="single" w:sz="6" w:space="0" w:color="000000"/>
              <w:bottom w:val="single" w:sz="6" w:space="0" w:color="000000"/>
              <w:right w:val="single" w:sz="6" w:space="0" w:color="000000"/>
            </w:tcBorders>
            <w:vAlign w:val="center"/>
          </w:tcPr>
          <w:p>
            <w:pPr>
              <w:pStyle w:val="Normal"/>
              <w:tabs>
                <w:tab w:val="clear" w:pos="709"/>
                <w:tab w:val="left" w:pos="-1620" w:leader="none"/>
              </w:tabs>
              <w:spacing w:before="120" w:after="120"/>
              <w:ind w:hanging="0" w:left="0"/>
              <w:jc w:val="center"/>
              <w:rPr>
                <w:sz w:val="20"/>
                <w:szCs w:val="20"/>
              </w:rPr>
            </w:pPr>
            <w:r>
              <w:rPr>
                <w:sz w:val="20"/>
                <w:szCs w:val="20"/>
              </w:rPr>
              <w:t>Общая стоимость, руб.</w:t>
            </w:r>
          </w:p>
        </w:tc>
        <w:tc>
          <w:tcPr>
            <w:tcW w:w="2851" w:type="dxa"/>
            <w:tcBorders>
              <w:top w:val="single" w:sz="6" w:space="0" w:color="000000"/>
              <w:left w:val="single" w:sz="6" w:space="0" w:color="000000"/>
              <w:bottom w:val="single" w:sz="6" w:space="0" w:color="000000"/>
              <w:right w:val="single" w:sz="6" w:space="0" w:color="000000"/>
            </w:tcBorders>
            <w:vAlign w:val="center"/>
          </w:tcPr>
          <w:p>
            <w:pPr>
              <w:pStyle w:val="Normal"/>
              <w:tabs>
                <w:tab w:val="clear" w:pos="709"/>
                <w:tab w:val="left" w:pos="-1620" w:leader="none"/>
              </w:tabs>
              <w:spacing w:before="120" w:after="120"/>
              <w:ind w:hanging="0" w:left="0"/>
              <w:jc w:val="center"/>
              <w:rPr>
                <w:sz w:val="20"/>
                <w:szCs w:val="20"/>
              </w:rPr>
            </w:pPr>
            <w:r>
              <w:rPr>
                <w:bCs/>
                <w:sz w:val="20"/>
                <w:szCs w:val="20"/>
              </w:rPr>
              <w:t>Требования к качеству, функциональным характеристикам (потребительские свойства) Товара.</w:t>
            </w:r>
          </w:p>
        </w:tc>
      </w:tr>
      <w:tr>
        <w:trPr>
          <w:trHeight w:val="526" w:hRule="atLeast"/>
        </w:trPr>
        <w:tc>
          <w:tcPr>
            <w:tcW w:w="614" w:type="dxa"/>
            <w:tcBorders>
              <w:top w:val="single" w:sz="6" w:space="0" w:color="000000"/>
              <w:left w:val="single" w:sz="6" w:space="0" w:color="000000"/>
              <w:bottom w:val="single" w:sz="6" w:space="0" w:color="000000"/>
              <w:right w:val="single" w:sz="6" w:space="0" w:color="000000"/>
            </w:tcBorders>
          </w:tcPr>
          <w:p>
            <w:pPr>
              <w:pStyle w:val="Style19"/>
              <w:spacing w:before="120" w:after="120"/>
              <w:ind w:hanging="0" w:left="0" w:right="0"/>
              <w:jc w:val="center"/>
              <w:rPr>
                <w:rFonts w:ascii="Times New Roman" w:hAnsi="Times New Roman" w:cs="Times New Roman"/>
                <w:sz w:val="20"/>
                <w:szCs w:val="20"/>
              </w:rPr>
            </w:pPr>
            <w:r>
              <w:rPr>
                <w:rFonts w:cs="Times New Roman"/>
                <w:sz w:val="20"/>
                <w:szCs w:val="20"/>
              </w:rPr>
              <w:t>1</w:t>
            </w:r>
          </w:p>
        </w:tc>
        <w:tc>
          <w:tcPr>
            <w:tcW w:w="8746" w:type="dxa"/>
            <w:gridSpan w:val="7"/>
            <w:tcBorders>
              <w:top w:val="single" w:sz="6" w:space="0" w:color="000000"/>
              <w:left w:val="single" w:sz="6" w:space="0" w:color="000000"/>
              <w:bottom w:val="single" w:sz="6" w:space="0" w:color="000000"/>
              <w:right w:val="single" w:sz="6" w:space="0" w:color="000000"/>
            </w:tcBorders>
          </w:tcPr>
          <w:p>
            <w:pPr>
              <w:pStyle w:val="Style19"/>
              <w:spacing w:before="120" w:after="120"/>
              <w:ind w:hanging="0" w:left="0" w:right="0"/>
              <w:jc w:val="center"/>
              <w:rPr>
                <w:rFonts w:ascii="Times New Roman" w:hAnsi="Times New Roman" w:cs="Times New Roman"/>
                <w:i/>
                <w:iCs/>
                <w:sz w:val="20"/>
                <w:szCs w:val="20"/>
              </w:rPr>
            </w:pPr>
            <w:r>
              <w:rPr>
                <w:rFonts w:cs="Times New Roman"/>
                <w:i/>
                <w:iCs/>
                <w:sz w:val="20"/>
                <w:szCs w:val="20"/>
              </w:rPr>
              <w:t>* Таблица будет заполнена в соответствии с предложением участника</w:t>
            </w:r>
          </w:p>
        </w:tc>
      </w:tr>
      <w:tr>
        <w:trPr>
          <w:trHeight w:val="526" w:hRule="atLeast"/>
        </w:trPr>
        <w:tc>
          <w:tcPr>
            <w:tcW w:w="614" w:type="dxa"/>
            <w:tcBorders>
              <w:left w:val="single" w:sz="6" w:space="0" w:color="000000"/>
              <w:bottom w:val="single" w:sz="6" w:space="0" w:color="000000"/>
              <w:right w:val="single" w:sz="6" w:space="0" w:color="000000"/>
            </w:tcBorders>
          </w:tcPr>
          <w:p>
            <w:pPr>
              <w:pStyle w:val="Style19"/>
              <w:spacing w:before="120" w:after="120"/>
              <w:ind w:hanging="0" w:left="0" w:right="0"/>
              <w:jc w:val="center"/>
              <w:rPr>
                <w:rFonts w:ascii="Times New Roman" w:hAnsi="Times New Roman" w:cs="Times New Roman"/>
                <w:sz w:val="20"/>
                <w:szCs w:val="20"/>
              </w:rPr>
            </w:pPr>
            <w:r>
              <w:rPr>
                <w:rFonts w:cs="Times New Roman"/>
                <w:sz w:val="20"/>
                <w:szCs w:val="20"/>
              </w:rPr>
              <w:t>2</w:t>
            </w:r>
          </w:p>
        </w:tc>
        <w:tc>
          <w:tcPr>
            <w:tcW w:w="1486" w:type="dxa"/>
            <w:tcBorders>
              <w:left w:val="single" w:sz="6" w:space="0" w:color="000000"/>
              <w:bottom w:val="single" w:sz="6" w:space="0" w:color="000000"/>
              <w:right w:val="single" w:sz="6" w:space="0" w:color="000000"/>
            </w:tcBorders>
          </w:tcPr>
          <w:p>
            <w:pPr>
              <w:pStyle w:val="Style19"/>
              <w:spacing w:before="120" w:after="120"/>
              <w:ind w:hanging="0" w:left="0" w:right="0"/>
              <w:jc w:val="center"/>
              <w:rPr>
                <w:rFonts w:ascii="Times New Roman" w:hAnsi="Times New Roman" w:cs="Times New Roman"/>
                <w:sz w:val="20"/>
                <w:szCs w:val="20"/>
              </w:rPr>
            </w:pPr>
            <w:r>
              <w:rPr>
                <w:rFonts w:cs="Times New Roman"/>
                <w:sz w:val="20"/>
                <w:szCs w:val="20"/>
              </w:rPr>
            </w:r>
          </w:p>
        </w:tc>
        <w:tc>
          <w:tcPr>
            <w:tcW w:w="899"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3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677"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95"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130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2851"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r>
      <w:tr>
        <w:trPr>
          <w:trHeight w:val="526" w:hRule="atLeast"/>
        </w:trPr>
        <w:tc>
          <w:tcPr>
            <w:tcW w:w="614" w:type="dxa"/>
            <w:tcBorders>
              <w:left w:val="single" w:sz="6" w:space="0" w:color="000000"/>
              <w:bottom w:val="single" w:sz="6" w:space="0" w:color="000000"/>
              <w:right w:val="single" w:sz="6" w:space="0" w:color="000000"/>
            </w:tcBorders>
          </w:tcPr>
          <w:p>
            <w:pPr>
              <w:pStyle w:val="Style19"/>
              <w:spacing w:before="120" w:after="120"/>
              <w:ind w:hanging="0" w:left="0" w:right="0"/>
              <w:jc w:val="center"/>
              <w:rPr>
                <w:rFonts w:ascii="Times New Roman" w:hAnsi="Times New Roman" w:cs="Times New Roman"/>
                <w:sz w:val="20"/>
                <w:szCs w:val="20"/>
              </w:rPr>
            </w:pPr>
            <w:r>
              <w:rPr>
                <w:rFonts w:cs="Times New Roman"/>
                <w:sz w:val="20"/>
                <w:szCs w:val="20"/>
              </w:rPr>
              <w:t>3</w:t>
            </w:r>
          </w:p>
        </w:tc>
        <w:tc>
          <w:tcPr>
            <w:tcW w:w="1486"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113" w:right="0"/>
              <w:jc w:val="center"/>
              <w:rPr>
                <w:rFonts w:ascii="Times New Roman" w:hAnsi="Times New Roman" w:cs="Times New Roman"/>
                <w:sz w:val="20"/>
                <w:szCs w:val="20"/>
              </w:rPr>
            </w:pPr>
            <w:r>
              <w:rPr>
                <w:rFonts w:cs="Times New Roman"/>
                <w:sz w:val="20"/>
                <w:szCs w:val="20"/>
              </w:rPr>
            </w:r>
          </w:p>
        </w:tc>
        <w:tc>
          <w:tcPr>
            <w:tcW w:w="899"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3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677"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95"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130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2851"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r>
      <w:tr>
        <w:trPr>
          <w:trHeight w:val="526" w:hRule="atLeast"/>
        </w:trPr>
        <w:tc>
          <w:tcPr>
            <w:tcW w:w="614"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0" w:right="0"/>
              <w:jc w:val="center"/>
              <w:rPr>
                <w:rFonts w:ascii="Times New Roman" w:hAnsi="Times New Roman" w:cs="Times New Roman"/>
                <w:sz w:val="20"/>
                <w:szCs w:val="20"/>
              </w:rPr>
            </w:pPr>
            <w:r>
              <w:rPr>
                <w:rFonts w:cs="Times New Roman"/>
                <w:sz w:val="20"/>
                <w:szCs w:val="20"/>
              </w:rPr>
              <w:t>4</w:t>
            </w:r>
          </w:p>
        </w:tc>
        <w:tc>
          <w:tcPr>
            <w:tcW w:w="1486"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113" w:right="0"/>
              <w:jc w:val="center"/>
              <w:rPr>
                <w:rFonts w:ascii="Times New Roman" w:hAnsi="Times New Roman" w:cs="Times New Roman"/>
                <w:sz w:val="20"/>
                <w:szCs w:val="20"/>
              </w:rPr>
            </w:pPr>
            <w:r>
              <w:rPr>
                <w:rFonts w:cs="Times New Roman"/>
                <w:sz w:val="20"/>
                <w:szCs w:val="20"/>
              </w:rPr>
            </w:r>
          </w:p>
        </w:tc>
        <w:tc>
          <w:tcPr>
            <w:tcW w:w="899"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3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677"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95"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130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2851"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r>
      <w:tr>
        <w:trPr>
          <w:trHeight w:val="526" w:hRule="atLeast"/>
        </w:trPr>
        <w:tc>
          <w:tcPr>
            <w:tcW w:w="614"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0" w:right="0"/>
              <w:jc w:val="center"/>
              <w:rPr>
                <w:rFonts w:ascii="Times New Roman" w:hAnsi="Times New Roman" w:cs="Times New Roman"/>
                <w:sz w:val="20"/>
                <w:szCs w:val="20"/>
              </w:rPr>
            </w:pPr>
            <w:r>
              <w:rPr>
                <w:rFonts w:cs="Times New Roman"/>
                <w:sz w:val="20"/>
                <w:szCs w:val="20"/>
              </w:rPr>
              <w:t>5</w:t>
            </w:r>
          </w:p>
        </w:tc>
        <w:tc>
          <w:tcPr>
            <w:tcW w:w="1486"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113" w:right="0"/>
              <w:jc w:val="center"/>
              <w:rPr>
                <w:rFonts w:ascii="Times New Roman" w:hAnsi="Times New Roman" w:cs="Times New Roman"/>
                <w:sz w:val="20"/>
                <w:szCs w:val="20"/>
              </w:rPr>
            </w:pPr>
            <w:r>
              <w:rPr>
                <w:rFonts w:cs="Times New Roman"/>
                <w:sz w:val="20"/>
                <w:szCs w:val="20"/>
              </w:rPr>
            </w:r>
          </w:p>
        </w:tc>
        <w:tc>
          <w:tcPr>
            <w:tcW w:w="899"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3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677"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95"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130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2851"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r>
      <w:tr>
        <w:trPr>
          <w:trHeight w:val="526" w:hRule="atLeast"/>
        </w:trPr>
        <w:tc>
          <w:tcPr>
            <w:tcW w:w="614"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0" w:right="0"/>
              <w:jc w:val="center"/>
              <w:rPr>
                <w:rFonts w:ascii="Times New Roman" w:hAnsi="Times New Roman" w:cs="Times New Roman"/>
                <w:sz w:val="20"/>
                <w:szCs w:val="20"/>
              </w:rPr>
            </w:pPr>
            <w:r>
              <w:rPr>
                <w:rFonts w:cs="Times New Roman"/>
                <w:sz w:val="20"/>
                <w:szCs w:val="20"/>
              </w:rPr>
              <w:t>6</w:t>
            </w:r>
          </w:p>
        </w:tc>
        <w:tc>
          <w:tcPr>
            <w:tcW w:w="1486"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113" w:right="0"/>
              <w:jc w:val="center"/>
              <w:rPr>
                <w:rFonts w:ascii="Times New Roman" w:hAnsi="Times New Roman" w:cs="Times New Roman"/>
                <w:sz w:val="20"/>
                <w:szCs w:val="20"/>
              </w:rPr>
            </w:pPr>
            <w:r>
              <w:rPr>
                <w:rFonts w:cs="Times New Roman"/>
                <w:sz w:val="20"/>
                <w:szCs w:val="20"/>
              </w:rPr>
            </w:r>
          </w:p>
        </w:tc>
        <w:tc>
          <w:tcPr>
            <w:tcW w:w="899"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3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677"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95"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130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2851"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r>
      <w:tr>
        <w:trPr>
          <w:trHeight w:val="526" w:hRule="atLeast"/>
        </w:trPr>
        <w:tc>
          <w:tcPr>
            <w:tcW w:w="614"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0" w:right="0"/>
              <w:jc w:val="center"/>
              <w:rPr>
                <w:rFonts w:ascii="Times New Roman" w:hAnsi="Times New Roman" w:cs="Times New Roman"/>
                <w:sz w:val="20"/>
                <w:szCs w:val="20"/>
              </w:rPr>
            </w:pPr>
            <w:r>
              <w:rPr>
                <w:rFonts w:cs="Times New Roman"/>
                <w:sz w:val="20"/>
                <w:szCs w:val="20"/>
              </w:rPr>
              <w:t>7</w:t>
            </w:r>
          </w:p>
        </w:tc>
        <w:tc>
          <w:tcPr>
            <w:tcW w:w="1486"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113" w:right="0"/>
              <w:jc w:val="center"/>
              <w:rPr>
                <w:rFonts w:ascii="Times New Roman" w:hAnsi="Times New Roman" w:cs="Times New Roman"/>
                <w:sz w:val="20"/>
                <w:szCs w:val="20"/>
              </w:rPr>
            </w:pPr>
            <w:r>
              <w:rPr>
                <w:rFonts w:cs="Times New Roman"/>
                <w:sz w:val="20"/>
                <w:szCs w:val="20"/>
              </w:rPr>
            </w:r>
          </w:p>
        </w:tc>
        <w:tc>
          <w:tcPr>
            <w:tcW w:w="899"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3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677"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95"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130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2851"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r>
      <w:tr>
        <w:trPr>
          <w:trHeight w:val="526" w:hRule="atLeast"/>
        </w:trPr>
        <w:tc>
          <w:tcPr>
            <w:tcW w:w="614"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0" w:right="0"/>
              <w:jc w:val="center"/>
              <w:rPr>
                <w:rFonts w:ascii="Times New Roman" w:hAnsi="Times New Roman" w:cs="Times New Roman"/>
                <w:sz w:val="20"/>
                <w:szCs w:val="20"/>
              </w:rPr>
            </w:pPr>
            <w:r>
              <w:rPr>
                <w:rFonts w:cs="Times New Roman"/>
                <w:sz w:val="20"/>
                <w:szCs w:val="20"/>
              </w:rPr>
              <w:t>8</w:t>
            </w:r>
          </w:p>
        </w:tc>
        <w:tc>
          <w:tcPr>
            <w:tcW w:w="1486"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113" w:right="0"/>
              <w:jc w:val="center"/>
              <w:rPr>
                <w:rFonts w:ascii="Times New Roman" w:hAnsi="Times New Roman" w:cs="Times New Roman"/>
                <w:sz w:val="20"/>
                <w:szCs w:val="20"/>
              </w:rPr>
            </w:pPr>
            <w:r>
              <w:rPr>
                <w:rFonts w:cs="Times New Roman"/>
                <w:sz w:val="20"/>
                <w:szCs w:val="20"/>
              </w:rPr>
            </w:r>
          </w:p>
        </w:tc>
        <w:tc>
          <w:tcPr>
            <w:tcW w:w="899"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3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677"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95"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130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2851"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r>
      <w:tr>
        <w:trPr>
          <w:trHeight w:val="526" w:hRule="atLeast"/>
        </w:trPr>
        <w:tc>
          <w:tcPr>
            <w:tcW w:w="614"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0" w:right="0"/>
              <w:jc w:val="center"/>
              <w:rPr>
                <w:rFonts w:ascii="Times New Roman" w:hAnsi="Times New Roman" w:cs="Times New Roman"/>
                <w:sz w:val="20"/>
                <w:szCs w:val="20"/>
              </w:rPr>
            </w:pPr>
            <w:r>
              <w:rPr>
                <w:rFonts w:cs="Times New Roman"/>
                <w:sz w:val="20"/>
                <w:szCs w:val="20"/>
              </w:rPr>
              <w:t>9</w:t>
            </w:r>
          </w:p>
        </w:tc>
        <w:tc>
          <w:tcPr>
            <w:tcW w:w="1486"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113" w:right="0"/>
              <w:jc w:val="center"/>
              <w:rPr>
                <w:rFonts w:ascii="Times New Roman" w:hAnsi="Times New Roman" w:cs="Times New Roman"/>
                <w:sz w:val="20"/>
                <w:szCs w:val="20"/>
              </w:rPr>
            </w:pPr>
            <w:r>
              <w:rPr>
                <w:rFonts w:cs="Times New Roman"/>
                <w:sz w:val="20"/>
                <w:szCs w:val="20"/>
              </w:rPr>
            </w:r>
          </w:p>
        </w:tc>
        <w:tc>
          <w:tcPr>
            <w:tcW w:w="899"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3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677"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95"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130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2851"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r>
      <w:tr>
        <w:trPr>
          <w:trHeight w:val="526" w:hRule="atLeast"/>
        </w:trPr>
        <w:tc>
          <w:tcPr>
            <w:tcW w:w="614"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0" w:right="0"/>
              <w:jc w:val="center"/>
              <w:rPr>
                <w:rFonts w:ascii="Times New Roman" w:hAnsi="Times New Roman" w:cs="Times New Roman"/>
                <w:sz w:val="20"/>
                <w:szCs w:val="20"/>
              </w:rPr>
            </w:pPr>
            <w:r>
              <w:rPr>
                <w:rFonts w:cs="Times New Roman"/>
                <w:sz w:val="20"/>
                <w:szCs w:val="20"/>
              </w:rPr>
              <w:t>10</w:t>
            </w:r>
          </w:p>
        </w:tc>
        <w:tc>
          <w:tcPr>
            <w:tcW w:w="1486"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113" w:right="0"/>
              <w:jc w:val="center"/>
              <w:rPr>
                <w:rFonts w:ascii="Times New Roman" w:hAnsi="Times New Roman" w:cs="Times New Roman"/>
                <w:sz w:val="20"/>
                <w:szCs w:val="20"/>
              </w:rPr>
            </w:pPr>
            <w:r>
              <w:rPr>
                <w:rFonts w:cs="Times New Roman"/>
                <w:sz w:val="20"/>
                <w:szCs w:val="20"/>
              </w:rPr>
            </w:r>
          </w:p>
        </w:tc>
        <w:tc>
          <w:tcPr>
            <w:tcW w:w="899"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3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677"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95"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130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2851"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r>
      <w:tr>
        <w:trPr>
          <w:trHeight w:val="526" w:hRule="atLeast"/>
        </w:trPr>
        <w:tc>
          <w:tcPr>
            <w:tcW w:w="614"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0" w:right="0"/>
              <w:jc w:val="center"/>
              <w:rPr>
                <w:rFonts w:ascii="Times New Roman" w:hAnsi="Times New Roman" w:cs="Times New Roman"/>
                <w:sz w:val="20"/>
                <w:szCs w:val="20"/>
              </w:rPr>
            </w:pPr>
            <w:r>
              <w:rPr>
                <w:rFonts w:cs="Times New Roman"/>
                <w:sz w:val="20"/>
                <w:szCs w:val="20"/>
              </w:rPr>
              <w:t>11</w:t>
            </w:r>
          </w:p>
        </w:tc>
        <w:tc>
          <w:tcPr>
            <w:tcW w:w="1486"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113" w:right="0"/>
              <w:jc w:val="center"/>
              <w:rPr>
                <w:rFonts w:ascii="Times New Roman" w:hAnsi="Times New Roman" w:cs="Times New Roman"/>
                <w:sz w:val="20"/>
                <w:szCs w:val="20"/>
              </w:rPr>
            </w:pPr>
            <w:r>
              <w:rPr>
                <w:rFonts w:cs="Times New Roman"/>
                <w:sz w:val="20"/>
                <w:szCs w:val="20"/>
              </w:rPr>
            </w:r>
          </w:p>
        </w:tc>
        <w:tc>
          <w:tcPr>
            <w:tcW w:w="899"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3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677"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95"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130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2851"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r>
      <w:tr>
        <w:trPr>
          <w:trHeight w:val="526" w:hRule="atLeast"/>
        </w:trPr>
        <w:tc>
          <w:tcPr>
            <w:tcW w:w="614"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0" w:right="0"/>
              <w:jc w:val="center"/>
              <w:rPr>
                <w:rFonts w:ascii="Times New Roman" w:hAnsi="Times New Roman" w:cs="Times New Roman"/>
                <w:sz w:val="20"/>
                <w:szCs w:val="20"/>
              </w:rPr>
            </w:pPr>
            <w:r>
              <w:rPr>
                <w:rFonts w:cs="Times New Roman"/>
                <w:sz w:val="20"/>
                <w:szCs w:val="20"/>
              </w:rPr>
              <w:t>12</w:t>
            </w:r>
          </w:p>
        </w:tc>
        <w:tc>
          <w:tcPr>
            <w:tcW w:w="1486"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113" w:right="0"/>
              <w:jc w:val="center"/>
              <w:rPr>
                <w:rFonts w:ascii="Times New Roman" w:hAnsi="Times New Roman" w:cs="Times New Roman"/>
                <w:sz w:val="20"/>
                <w:szCs w:val="20"/>
              </w:rPr>
            </w:pPr>
            <w:r>
              <w:rPr>
                <w:rFonts w:cs="Times New Roman"/>
                <w:sz w:val="20"/>
                <w:szCs w:val="20"/>
              </w:rPr>
            </w:r>
          </w:p>
        </w:tc>
        <w:tc>
          <w:tcPr>
            <w:tcW w:w="899"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3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677"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95"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130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2851"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r>
      <w:tr>
        <w:trPr>
          <w:trHeight w:val="526" w:hRule="atLeast"/>
        </w:trPr>
        <w:tc>
          <w:tcPr>
            <w:tcW w:w="614"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0" w:right="0"/>
              <w:jc w:val="center"/>
              <w:rPr>
                <w:rFonts w:ascii="Times New Roman" w:hAnsi="Times New Roman" w:cs="Times New Roman"/>
                <w:sz w:val="20"/>
                <w:szCs w:val="20"/>
              </w:rPr>
            </w:pPr>
            <w:r>
              <w:rPr>
                <w:rFonts w:cs="Times New Roman"/>
                <w:sz w:val="20"/>
                <w:szCs w:val="20"/>
              </w:rPr>
              <w:t>13</w:t>
            </w:r>
          </w:p>
        </w:tc>
        <w:tc>
          <w:tcPr>
            <w:tcW w:w="1486"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113" w:right="0"/>
              <w:jc w:val="center"/>
              <w:rPr>
                <w:rFonts w:ascii="Times New Roman" w:hAnsi="Times New Roman" w:cs="Times New Roman"/>
                <w:sz w:val="20"/>
                <w:szCs w:val="20"/>
              </w:rPr>
            </w:pPr>
            <w:r>
              <w:rPr>
                <w:rFonts w:cs="Times New Roman"/>
                <w:sz w:val="20"/>
                <w:szCs w:val="20"/>
              </w:rPr>
            </w:r>
          </w:p>
        </w:tc>
        <w:tc>
          <w:tcPr>
            <w:tcW w:w="899"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3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677"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95"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130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2851"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r>
      <w:tr>
        <w:trPr>
          <w:trHeight w:val="526" w:hRule="atLeast"/>
        </w:trPr>
        <w:tc>
          <w:tcPr>
            <w:tcW w:w="614"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0" w:right="0"/>
              <w:jc w:val="center"/>
              <w:rPr>
                <w:rFonts w:ascii="Times New Roman" w:hAnsi="Times New Roman" w:cs="Times New Roman"/>
                <w:sz w:val="20"/>
                <w:szCs w:val="20"/>
              </w:rPr>
            </w:pPr>
            <w:r>
              <w:rPr>
                <w:rFonts w:cs="Times New Roman"/>
                <w:sz w:val="20"/>
                <w:szCs w:val="20"/>
              </w:rPr>
              <w:t>14</w:t>
            </w:r>
          </w:p>
        </w:tc>
        <w:tc>
          <w:tcPr>
            <w:tcW w:w="1486"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113" w:right="0"/>
              <w:jc w:val="center"/>
              <w:rPr>
                <w:rFonts w:ascii="Times New Roman" w:hAnsi="Times New Roman" w:cs="Times New Roman"/>
                <w:sz w:val="20"/>
                <w:szCs w:val="20"/>
              </w:rPr>
            </w:pPr>
            <w:r>
              <w:rPr>
                <w:rFonts w:cs="Times New Roman"/>
                <w:sz w:val="20"/>
                <w:szCs w:val="20"/>
              </w:rPr>
            </w:r>
          </w:p>
        </w:tc>
        <w:tc>
          <w:tcPr>
            <w:tcW w:w="899"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3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677"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95"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130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2851"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r>
      <w:tr>
        <w:trPr>
          <w:trHeight w:val="526" w:hRule="atLeast"/>
        </w:trPr>
        <w:tc>
          <w:tcPr>
            <w:tcW w:w="614"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0" w:right="0"/>
              <w:jc w:val="center"/>
              <w:rPr>
                <w:rFonts w:ascii="Times New Roman" w:hAnsi="Times New Roman" w:cs="Times New Roman"/>
                <w:sz w:val="20"/>
                <w:szCs w:val="20"/>
              </w:rPr>
            </w:pPr>
            <w:r>
              <w:rPr>
                <w:rFonts w:cs="Times New Roman"/>
                <w:sz w:val="20"/>
                <w:szCs w:val="20"/>
              </w:rPr>
              <w:t>15</w:t>
            </w:r>
          </w:p>
        </w:tc>
        <w:tc>
          <w:tcPr>
            <w:tcW w:w="1486"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113" w:right="0"/>
              <w:jc w:val="center"/>
              <w:rPr>
                <w:rFonts w:ascii="Times New Roman" w:hAnsi="Times New Roman" w:cs="Times New Roman"/>
                <w:sz w:val="20"/>
                <w:szCs w:val="20"/>
              </w:rPr>
            </w:pPr>
            <w:r>
              <w:rPr>
                <w:rFonts w:cs="Times New Roman"/>
                <w:sz w:val="20"/>
                <w:szCs w:val="20"/>
              </w:rPr>
            </w:r>
          </w:p>
        </w:tc>
        <w:tc>
          <w:tcPr>
            <w:tcW w:w="899"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3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677"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95"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130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2851"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r>
      <w:tr>
        <w:trPr>
          <w:trHeight w:val="526" w:hRule="atLeast"/>
        </w:trPr>
        <w:tc>
          <w:tcPr>
            <w:tcW w:w="614"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0" w:right="0"/>
              <w:jc w:val="center"/>
              <w:rPr>
                <w:rFonts w:ascii="Times New Roman" w:hAnsi="Times New Roman" w:cs="Times New Roman"/>
                <w:sz w:val="20"/>
                <w:szCs w:val="20"/>
              </w:rPr>
            </w:pPr>
            <w:r>
              <w:rPr>
                <w:rFonts w:cs="Times New Roman"/>
                <w:sz w:val="20"/>
                <w:szCs w:val="20"/>
              </w:rPr>
              <w:t>16</w:t>
            </w:r>
          </w:p>
        </w:tc>
        <w:tc>
          <w:tcPr>
            <w:tcW w:w="1486"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113" w:right="0"/>
              <w:jc w:val="center"/>
              <w:rPr>
                <w:rFonts w:ascii="Times New Roman" w:hAnsi="Times New Roman" w:cs="Times New Roman"/>
                <w:sz w:val="20"/>
                <w:szCs w:val="20"/>
              </w:rPr>
            </w:pPr>
            <w:r>
              <w:rPr>
                <w:rFonts w:cs="Times New Roman"/>
                <w:sz w:val="20"/>
                <w:szCs w:val="20"/>
              </w:rPr>
            </w:r>
          </w:p>
        </w:tc>
        <w:tc>
          <w:tcPr>
            <w:tcW w:w="899"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3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677"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95"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130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2851"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r>
      <w:tr>
        <w:trPr>
          <w:trHeight w:val="526" w:hRule="atLeast"/>
        </w:trPr>
        <w:tc>
          <w:tcPr>
            <w:tcW w:w="614"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0" w:right="0"/>
              <w:jc w:val="center"/>
              <w:rPr>
                <w:rFonts w:ascii="Times New Roman" w:hAnsi="Times New Roman" w:cs="Times New Roman"/>
                <w:sz w:val="20"/>
                <w:szCs w:val="20"/>
              </w:rPr>
            </w:pPr>
            <w:r>
              <w:rPr>
                <w:rFonts w:cs="Times New Roman"/>
                <w:sz w:val="20"/>
                <w:szCs w:val="20"/>
              </w:rPr>
              <w:t>17</w:t>
            </w:r>
          </w:p>
        </w:tc>
        <w:tc>
          <w:tcPr>
            <w:tcW w:w="1486"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113" w:right="0"/>
              <w:jc w:val="center"/>
              <w:rPr>
                <w:rFonts w:ascii="Times New Roman" w:hAnsi="Times New Roman" w:cs="Times New Roman"/>
                <w:sz w:val="20"/>
                <w:szCs w:val="20"/>
              </w:rPr>
            </w:pPr>
            <w:r>
              <w:rPr>
                <w:rFonts w:cs="Times New Roman"/>
                <w:sz w:val="20"/>
                <w:szCs w:val="20"/>
              </w:rPr>
            </w:r>
          </w:p>
        </w:tc>
        <w:tc>
          <w:tcPr>
            <w:tcW w:w="899"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3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677"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95"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130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2851"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r>
      <w:tr>
        <w:trPr>
          <w:trHeight w:val="526" w:hRule="atLeast"/>
        </w:trPr>
        <w:tc>
          <w:tcPr>
            <w:tcW w:w="614"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0" w:right="0"/>
              <w:jc w:val="center"/>
              <w:rPr>
                <w:rFonts w:ascii="Times New Roman" w:hAnsi="Times New Roman" w:cs="Times New Roman"/>
                <w:sz w:val="20"/>
                <w:szCs w:val="20"/>
              </w:rPr>
            </w:pPr>
            <w:r>
              <w:rPr>
                <w:rFonts w:cs="Times New Roman"/>
                <w:sz w:val="20"/>
                <w:szCs w:val="20"/>
              </w:rPr>
              <w:t>18</w:t>
            </w:r>
          </w:p>
        </w:tc>
        <w:tc>
          <w:tcPr>
            <w:tcW w:w="1486"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113" w:right="0"/>
              <w:jc w:val="center"/>
              <w:rPr>
                <w:rFonts w:ascii="Times New Roman" w:hAnsi="Times New Roman" w:cs="Times New Roman"/>
                <w:sz w:val="20"/>
                <w:szCs w:val="20"/>
              </w:rPr>
            </w:pPr>
            <w:r>
              <w:rPr>
                <w:rFonts w:cs="Times New Roman"/>
                <w:sz w:val="20"/>
                <w:szCs w:val="20"/>
              </w:rPr>
            </w:r>
          </w:p>
        </w:tc>
        <w:tc>
          <w:tcPr>
            <w:tcW w:w="899"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3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677"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95"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130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2851"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r>
      <w:tr>
        <w:trPr>
          <w:trHeight w:val="526" w:hRule="atLeast"/>
        </w:trPr>
        <w:tc>
          <w:tcPr>
            <w:tcW w:w="614"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0" w:right="0"/>
              <w:jc w:val="center"/>
              <w:rPr>
                <w:rFonts w:ascii="Times New Roman" w:hAnsi="Times New Roman" w:cs="Times New Roman"/>
                <w:sz w:val="20"/>
                <w:szCs w:val="20"/>
              </w:rPr>
            </w:pPr>
            <w:r>
              <w:rPr>
                <w:rFonts w:cs="Times New Roman"/>
                <w:sz w:val="20"/>
                <w:szCs w:val="20"/>
              </w:rPr>
              <w:t>19</w:t>
            </w:r>
          </w:p>
        </w:tc>
        <w:tc>
          <w:tcPr>
            <w:tcW w:w="1486"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113" w:right="0"/>
              <w:jc w:val="center"/>
              <w:rPr>
                <w:rFonts w:ascii="Times New Roman" w:hAnsi="Times New Roman" w:cs="Times New Roman"/>
                <w:sz w:val="20"/>
                <w:szCs w:val="20"/>
              </w:rPr>
            </w:pPr>
            <w:r>
              <w:rPr>
                <w:rFonts w:cs="Times New Roman"/>
                <w:sz w:val="20"/>
                <w:szCs w:val="20"/>
              </w:rPr>
            </w:r>
          </w:p>
        </w:tc>
        <w:tc>
          <w:tcPr>
            <w:tcW w:w="899"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3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677"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95"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130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2851"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r>
      <w:tr>
        <w:trPr>
          <w:trHeight w:val="526" w:hRule="atLeast"/>
        </w:trPr>
        <w:tc>
          <w:tcPr>
            <w:tcW w:w="614"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0" w:right="0"/>
              <w:jc w:val="center"/>
              <w:rPr>
                <w:rFonts w:ascii="Times New Roman" w:hAnsi="Times New Roman" w:cs="Times New Roman"/>
                <w:sz w:val="20"/>
                <w:szCs w:val="20"/>
              </w:rPr>
            </w:pPr>
            <w:r>
              <w:rPr>
                <w:rFonts w:cs="Times New Roman"/>
                <w:sz w:val="20"/>
                <w:szCs w:val="20"/>
              </w:rPr>
              <w:t>20</w:t>
            </w:r>
          </w:p>
        </w:tc>
        <w:tc>
          <w:tcPr>
            <w:tcW w:w="1486"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113" w:right="0"/>
              <w:jc w:val="center"/>
              <w:rPr>
                <w:rFonts w:ascii="Times New Roman" w:hAnsi="Times New Roman" w:cs="Times New Roman"/>
                <w:sz w:val="20"/>
                <w:szCs w:val="20"/>
              </w:rPr>
            </w:pPr>
            <w:r>
              <w:rPr>
                <w:rFonts w:cs="Times New Roman"/>
                <w:sz w:val="20"/>
                <w:szCs w:val="20"/>
              </w:rPr>
            </w:r>
          </w:p>
        </w:tc>
        <w:tc>
          <w:tcPr>
            <w:tcW w:w="899"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3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677"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95"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130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2851"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r>
      <w:tr>
        <w:trPr>
          <w:trHeight w:val="526" w:hRule="atLeast"/>
        </w:trPr>
        <w:tc>
          <w:tcPr>
            <w:tcW w:w="614"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0" w:right="0"/>
              <w:jc w:val="center"/>
              <w:rPr>
                <w:rFonts w:ascii="Times New Roman" w:hAnsi="Times New Roman" w:cs="Times New Roman"/>
                <w:sz w:val="20"/>
                <w:szCs w:val="20"/>
              </w:rPr>
            </w:pPr>
            <w:r>
              <w:rPr>
                <w:rFonts w:cs="Times New Roman"/>
                <w:sz w:val="20"/>
                <w:szCs w:val="20"/>
              </w:rPr>
              <w:t>21</w:t>
            </w:r>
          </w:p>
        </w:tc>
        <w:tc>
          <w:tcPr>
            <w:tcW w:w="1486"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113" w:right="0"/>
              <w:jc w:val="center"/>
              <w:rPr>
                <w:rFonts w:ascii="Times New Roman" w:hAnsi="Times New Roman" w:cs="Times New Roman"/>
                <w:sz w:val="20"/>
                <w:szCs w:val="20"/>
              </w:rPr>
            </w:pPr>
            <w:r>
              <w:rPr>
                <w:rFonts w:cs="Times New Roman"/>
                <w:sz w:val="20"/>
                <w:szCs w:val="20"/>
              </w:rPr>
            </w:r>
          </w:p>
        </w:tc>
        <w:tc>
          <w:tcPr>
            <w:tcW w:w="899"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3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677"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95"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130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2851"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r>
      <w:tr>
        <w:trPr>
          <w:trHeight w:val="526" w:hRule="atLeast"/>
        </w:trPr>
        <w:tc>
          <w:tcPr>
            <w:tcW w:w="614"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0" w:right="0"/>
              <w:jc w:val="center"/>
              <w:rPr>
                <w:rFonts w:ascii="Times New Roman" w:hAnsi="Times New Roman" w:cs="Times New Roman"/>
                <w:sz w:val="20"/>
                <w:szCs w:val="20"/>
              </w:rPr>
            </w:pPr>
            <w:r>
              <w:rPr>
                <w:rFonts w:cs="Times New Roman"/>
                <w:sz w:val="20"/>
                <w:szCs w:val="20"/>
              </w:rPr>
              <w:t>22</w:t>
            </w:r>
          </w:p>
        </w:tc>
        <w:tc>
          <w:tcPr>
            <w:tcW w:w="1486"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113" w:right="0"/>
              <w:jc w:val="center"/>
              <w:rPr>
                <w:rFonts w:ascii="Times New Roman" w:hAnsi="Times New Roman" w:cs="Times New Roman"/>
                <w:sz w:val="20"/>
                <w:szCs w:val="20"/>
              </w:rPr>
            </w:pPr>
            <w:r>
              <w:rPr>
                <w:rFonts w:cs="Times New Roman"/>
                <w:sz w:val="20"/>
                <w:szCs w:val="20"/>
              </w:rPr>
            </w:r>
          </w:p>
        </w:tc>
        <w:tc>
          <w:tcPr>
            <w:tcW w:w="899"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3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677"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95"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130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2851"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r>
      <w:tr>
        <w:trPr>
          <w:trHeight w:val="526" w:hRule="atLeast"/>
        </w:trPr>
        <w:tc>
          <w:tcPr>
            <w:tcW w:w="614"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0" w:right="0"/>
              <w:jc w:val="center"/>
              <w:rPr>
                <w:rFonts w:ascii="Times New Roman" w:hAnsi="Times New Roman" w:cs="Times New Roman"/>
                <w:sz w:val="20"/>
                <w:szCs w:val="20"/>
              </w:rPr>
            </w:pPr>
            <w:r>
              <w:rPr>
                <w:rFonts w:cs="Times New Roman"/>
                <w:sz w:val="20"/>
                <w:szCs w:val="20"/>
              </w:rPr>
              <w:t>23</w:t>
            </w:r>
          </w:p>
        </w:tc>
        <w:tc>
          <w:tcPr>
            <w:tcW w:w="1486"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113" w:right="0"/>
              <w:jc w:val="center"/>
              <w:rPr>
                <w:rFonts w:ascii="Times New Roman" w:hAnsi="Times New Roman" w:cs="Times New Roman"/>
                <w:sz w:val="20"/>
                <w:szCs w:val="20"/>
              </w:rPr>
            </w:pPr>
            <w:r>
              <w:rPr>
                <w:rFonts w:cs="Times New Roman"/>
                <w:sz w:val="20"/>
                <w:szCs w:val="20"/>
              </w:rPr>
            </w:r>
          </w:p>
        </w:tc>
        <w:tc>
          <w:tcPr>
            <w:tcW w:w="899"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3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677"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95"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130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2851"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r>
      <w:tr>
        <w:trPr>
          <w:trHeight w:val="526" w:hRule="atLeast"/>
        </w:trPr>
        <w:tc>
          <w:tcPr>
            <w:tcW w:w="614"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0" w:right="0"/>
              <w:jc w:val="center"/>
              <w:rPr>
                <w:rFonts w:ascii="Times New Roman" w:hAnsi="Times New Roman" w:cs="Times New Roman"/>
                <w:sz w:val="20"/>
                <w:szCs w:val="20"/>
              </w:rPr>
            </w:pPr>
            <w:r>
              <w:rPr>
                <w:rFonts w:cs="Times New Roman"/>
                <w:sz w:val="20"/>
                <w:szCs w:val="20"/>
              </w:rPr>
              <w:t>24</w:t>
            </w:r>
          </w:p>
        </w:tc>
        <w:tc>
          <w:tcPr>
            <w:tcW w:w="1486"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113" w:right="0"/>
              <w:jc w:val="center"/>
              <w:rPr>
                <w:rFonts w:ascii="Times New Roman" w:hAnsi="Times New Roman" w:cs="Times New Roman"/>
                <w:sz w:val="20"/>
                <w:szCs w:val="20"/>
              </w:rPr>
            </w:pPr>
            <w:r>
              <w:rPr>
                <w:rFonts w:cs="Times New Roman"/>
                <w:sz w:val="20"/>
                <w:szCs w:val="20"/>
              </w:rPr>
            </w:r>
          </w:p>
        </w:tc>
        <w:tc>
          <w:tcPr>
            <w:tcW w:w="899"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3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677"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95"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130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2851"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r>
      <w:tr>
        <w:trPr>
          <w:trHeight w:val="526" w:hRule="atLeast"/>
        </w:trPr>
        <w:tc>
          <w:tcPr>
            <w:tcW w:w="614"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0" w:right="0"/>
              <w:jc w:val="center"/>
              <w:rPr>
                <w:rFonts w:ascii="Times New Roman" w:hAnsi="Times New Roman" w:cs="Times New Roman"/>
                <w:sz w:val="20"/>
                <w:szCs w:val="20"/>
              </w:rPr>
            </w:pPr>
            <w:r>
              <w:rPr>
                <w:rFonts w:cs="Times New Roman"/>
                <w:sz w:val="20"/>
                <w:szCs w:val="20"/>
              </w:rPr>
              <w:t>25</w:t>
            </w:r>
          </w:p>
        </w:tc>
        <w:tc>
          <w:tcPr>
            <w:tcW w:w="1486"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113" w:right="0"/>
              <w:jc w:val="center"/>
              <w:rPr>
                <w:rFonts w:ascii="Times New Roman" w:hAnsi="Times New Roman" w:cs="Times New Roman"/>
                <w:sz w:val="20"/>
                <w:szCs w:val="20"/>
              </w:rPr>
            </w:pPr>
            <w:r>
              <w:rPr>
                <w:rFonts w:cs="Times New Roman"/>
                <w:sz w:val="20"/>
                <w:szCs w:val="20"/>
              </w:rPr>
            </w:r>
          </w:p>
        </w:tc>
        <w:tc>
          <w:tcPr>
            <w:tcW w:w="899"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3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677"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95"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130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2851"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r>
      <w:tr>
        <w:trPr>
          <w:trHeight w:val="526" w:hRule="atLeast"/>
        </w:trPr>
        <w:tc>
          <w:tcPr>
            <w:tcW w:w="614"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0" w:right="0"/>
              <w:jc w:val="center"/>
              <w:rPr>
                <w:rFonts w:ascii="Times New Roman" w:hAnsi="Times New Roman" w:cs="Times New Roman"/>
                <w:sz w:val="20"/>
                <w:szCs w:val="20"/>
              </w:rPr>
            </w:pPr>
            <w:r>
              <w:rPr>
                <w:rFonts w:cs="Times New Roman"/>
                <w:sz w:val="20"/>
                <w:szCs w:val="20"/>
              </w:rPr>
              <w:t>26</w:t>
            </w:r>
          </w:p>
        </w:tc>
        <w:tc>
          <w:tcPr>
            <w:tcW w:w="1486"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113" w:right="0"/>
              <w:jc w:val="center"/>
              <w:rPr>
                <w:rFonts w:ascii="Times New Roman" w:hAnsi="Times New Roman" w:cs="Times New Roman"/>
                <w:sz w:val="20"/>
                <w:szCs w:val="20"/>
              </w:rPr>
            </w:pPr>
            <w:r>
              <w:rPr>
                <w:rFonts w:cs="Times New Roman"/>
                <w:sz w:val="20"/>
                <w:szCs w:val="20"/>
              </w:rPr>
            </w:r>
          </w:p>
        </w:tc>
        <w:tc>
          <w:tcPr>
            <w:tcW w:w="899"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3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677"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95"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130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2851"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r>
      <w:tr>
        <w:trPr>
          <w:trHeight w:val="526" w:hRule="atLeast"/>
        </w:trPr>
        <w:tc>
          <w:tcPr>
            <w:tcW w:w="614"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0" w:right="0"/>
              <w:jc w:val="center"/>
              <w:rPr>
                <w:rFonts w:ascii="Times New Roman" w:hAnsi="Times New Roman" w:cs="Times New Roman"/>
                <w:sz w:val="20"/>
                <w:szCs w:val="20"/>
              </w:rPr>
            </w:pPr>
            <w:r>
              <w:rPr>
                <w:rFonts w:cs="Times New Roman"/>
                <w:sz w:val="20"/>
                <w:szCs w:val="20"/>
              </w:rPr>
              <w:t>27</w:t>
            </w:r>
          </w:p>
        </w:tc>
        <w:tc>
          <w:tcPr>
            <w:tcW w:w="1486"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113" w:right="0"/>
              <w:jc w:val="center"/>
              <w:rPr>
                <w:rFonts w:ascii="Times New Roman" w:hAnsi="Times New Roman" w:cs="Times New Roman"/>
                <w:sz w:val="20"/>
                <w:szCs w:val="20"/>
              </w:rPr>
            </w:pPr>
            <w:r>
              <w:rPr>
                <w:rFonts w:cs="Times New Roman"/>
                <w:sz w:val="20"/>
                <w:szCs w:val="20"/>
              </w:rPr>
            </w:r>
          </w:p>
        </w:tc>
        <w:tc>
          <w:tcPr>
            <w:tcW w:w="899"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3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677"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95"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130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2851"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r>
      <w:tr>
        <w:trPr>
          <w:trHeight w:val="526" w:hRule="atLeast"/>
        </w:trPr>
        <w:tc>
          <w:tcPr>
            <w:tcW w:w="614"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0" w:right="0"/>
              <w:jc w:val="center"/>
              <w:rPr>
                <w:rFonts w:ascii="Times New Roman" w:hAnsi="Times New Roman" w:cs="Times New Roman"/>
                <w:sz w:val="20"/>
                <w:szCs w:val="20"/>
              </w:rPr>
            </w:pPr>
            <w:r>
              <w:rPr>
                <w:rFonts w:cs="Times New Roman"/>
                <w:sz w:val="20"/>
                <w:szCs w:val="20"/>
              </w:rPr>
              <w:t>28</w:t>
            </w:r>
          </w:p>
        </w:tc>
        <w:tc>
          <w:tcPr>
            <w:tcW w:w="1486"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113" w:right="0"/>
              <w:jc w:val="center"/>
              <w:rPr>
                <w:rFonts w:ascii="Times New Roman" w:hAnsi="Times New Roman" w:cs="Times New Roman"/>
                <w:sz w:val="20"/>
                <w:szCs w:val="20"/>
              </w:rPr>
            </w:pPr>
            <w:r>
              <w:rPr>
                <w:rFonts w:cs="Times New Roman"/>
                <w:sz w:val="20"/>
                <w:szCs w:val="20"/>
              </w:rPr>
            </w:r>
          </w:p>
        </w:tc>
        <w:tc>
          <w:tcPr>
            <w:tcW w:w="899"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3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677"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95"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130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2851"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r>
      <w:tr>
        <w:trPr>
          <w:trHeight w:val="526" w:hRule="atLeast"/>
        </w:trPr>
        <w:tc>
          <w:tcPr>
            <w:tcW w:w="614"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0" w:right="0"/>
              <w:jc w:val="center"/>
              <w:rPr>
                <w:rFonts w:ascii="Times New Roman" w:hAnsi="Times New Roman" w:cs="Times New Roman"/>
                <w:sz w:val="20"/>
                <w:szCs w:val="20"/>
              </w:rPr>
            </w:pPr>
            <w:r>
              <w:rPr>
                <w:rFonts w:cs="Times New Roman"/>
                <w:sz w:val="20"/>
                <w:szCs w:val="20"/>
              </w:rPr>
              <w:t>29</w:t>
            </w:r>
          </w:p>
        </w:tc>
        <w:tc>
          <w:tcPr>
            <w:tcW w:w="1486"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113" w:right="0"/>
              <w:jc w:val="center"/>
              <w:rPr>
                <w:rFonts w:ascii="Times New Roman" w:hAnsi="Times New Roman" w:cs="Times New Roman"/>
                <w:sz w:val="20"/>
                <w:szCs w:val="20"/>
              </w:rPr>
            </w:pPr>
            <w:r>
              <w:rPr>
                <w:rFonts w:cs="Times New Roman"/>
                <w:sz w:val="20"/>
                <w:szCs w:val="20"/>
              </w:rPr>
            </w:r>
          </w:p>
        </w:tc>
        <w:tc>
          <w:tcPr>
            <w:tcW w:w="899"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3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677"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95"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130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2851"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r>
      <w:tr>
        <w:trPr>
          <w:trHeight w:val="526" w:hRule="atLeast"/>
        </w:trPr>
        <w:tc>
          <w:tcPr>
            <w:tcW w:w="614"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0" w:right="0"/>
              <w:jc w:val="center"/>
              <w:rPr>
                <w:rFonts w:ascii="Times New Roman" w:hAnsi="Times New Roman" w:cs="Times New Roman"/>
                <w:sz w:val="20"/>
                <w:szCs w:val="20"/>
              </w:rPr>
            </w:pPr>
            <w:r>
              <w:rPr>
                <w:rFonts w:cs="Times New Roman"/>
                <w:sz w:val="20"/>
                <w:szCs w:val="20"/>
              </w:rPr>
              <w:t>30</w:t>
            </w:r>
          </w:p>
        </w:tc>
        <w:tc>
          <w:tcPr>
            <w:tcW w:w="1486"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113" w:right="0"/>
              <w:jc w:val="center"/>
              <w:rPr>
                <w:rFonts w:ascii="Times New Roman" w:hAnsi="Times New Roman" w:cs="Times New Roman"/>
                <w:sz w:val="20"/>
                <w:szCs w:val="20"/>
              </w:rPr>
            </w:pPr>
            <w:r>
              <w:rPr>
                <w:rFonts w:cs="Times New Roman"/>
                <w:sz w:val="20"/>
                <w:szCs w:val="20"/>
              </w:rPr>
            </w:r>
          </w:p>
        </w:tc>
        <w:tc>
          <w:tcPr>
            <w:tcW w:w="899"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3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677"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95"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130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2851"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r>
      <w:tr>
        <w:trPr>
          <w:trHeight w:val="526" w:hRule="atLeast"/>
        </w:trPr>
        <w:tc>
          <w:tcPr>
            <w:tcW w:w="614"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0" w:right="0"/>
              <w:jc w:val="center"/>
              <w:rPr>
                <w:rFonts w:ascii="Times New Roman" w:hAnsi="Times New Roman" w:cs="Times New Roman"/>
                <w:sz w:val="20"/>
                <w:szCs w:val="20"/>
              </w:rPr>
            </w:pPr>
            <w:r>
              <w:rPr>
                <w:rFonts w:cs="Times New Roman"/>
                <w:sz w:val="20"/>
                <w:szCs w:val="20"/>
              </w:rPr>
              <w:t>31</w:t>
            </w:r>
          </w:p>
        </w:tc>
        <w:tc>
          <w:tcPr>
            <w:tcW w:w="1486"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113" w:right="0"/>
              <w:jc w:val="center"/>
              <w:rPr>
                <w:rFonts w:ascii="Times New Roman" w:hAnsi="Times New Roman" w:cs="Times New Roman"/>
                <w:sz w:val="20"/>
                <w:szCs w:val="20"/>
              </w:rPr>
            </w:pPr>
            <w:r>
              <w:rPr>
                <w:rFonts w:cs="Times New Roman"/>
                <w:sz w:val="20"/>
                <w:szCs w:val="20"/>
              </w:rPr>
            </w:r>
          </w:p>
        </w:tc>
        <w:tc>
          <w:tcPr>
            <w:tcW w:w="899"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3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677"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95"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130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2851"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r>
      <w:tr>
        <w:trPr>
          <w:trHeight w:val="526" w:hRule="atLeast"/>
        </w:trPr>
        <w:tc>
          <w:tcPr>
            <w:tcW w:w="614"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0" w:right="0"/>
              <w:jc w:val="center"/>
              <w:rPr>
                <w:rFonts w:ascii="Times New Roman" w:hAnsi="Times New Roman" w:cs="Times New Roman"/>
                <w:sz w:val="20"/>
                <w:szCs w:val="20"/>
              </w:rPr>
            </w:pPr>
            <w:r>
              <w:rPr>
                <w:rFonts w:cs="Times New Roman"/>
                <w:sz w:val="20"/>
                <w:szCs w:val="20"/>
              </w:rPr>
              <w:t>32</w:t>
            </w:r>
          </w:p>
        </w:tc>
        <w:tc>
          <w:tcPr>
            <w:tcW w:w="1486"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113" w:right="0"/>
              <w:jc w:val="center"/>
              <w:rPr>
                <w:rFonts w:ascii="Times New Roman" w:hAnsi="Times New Roman" w:cs="Times New Roman"/>
                <w:sz w:val="20"/>
                <w:szCs w:val="20"/>
              </w:rPr>
            </w:pPr>
            <w:r>
              <w:rPr>
                <w:rFonts w:cs="Times New Roman"/>
                <w:sz w:val="20"/>
                <w:szCs w:val="20"/>
              </w:rPr>
            </w:r>
          </w:p>
        </w:tc>
        <w:tc>
          <w:tcPr>
            <w:tcW w:w="899"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3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677"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95"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130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2851"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r>
      <w:tr>
        <w:trPr>
          <w:trHeight w:val="526" w:hRule="atLeast"/>
        </w:trPr>
        <w:tc>
          <w:tcPr>
            <w:tcW w:w="614"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0" w:right="0"/>
              <w:jc w:val="center"/>
              <w:rPr>
                <w:rFonts w:ascii="Times New Roman" w:hAnsi="Times New Roman" w:cs="Times New Roman"/>
                <w:sz w:val="20"/>
                <w:szCs w:val="20"/>
              </w:rPr>
            </w:pPr>
            <w:r>
              <w:rPr>
                <w:rFonts w:cs="Times New Roman"/>
                <w:sz w:val="20"/>
                <w:szCs w:val="20"/>
              </w:rPr>
              <w:t>33</w:t>
            </w:r>
          </w:p>
        </w:tc>
        <w:tc>
          <w:tcPr>
            <w:tcW w:w="1486"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113" w:right="0"/>
              <w:jc w:val="center"/>
              <w:rPr>
                <w:rFonts w:ascii="Times New Roman" w:hAnsi="Times New Roman" w:cs="Times New Roman"/>
                <w:sz w:val="20"/>
                <w:szCs w:val="20"/>
              </w:rPr>
            </w:pPr>
            <w:r>
              <w:rPr>
                <w:rFonts w:cs="Times New Roman"/>
                <w:sz w:val="20"/>
                <w:szCs w:val="20"/>
              </w:rPr>
            </w:r>
          </w:p>
        </w:tc>
        <w:tc>
          <w:tcPr>
            <w:tcW w:w="899"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3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677"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95"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130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2851"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r>
      <w:tr>
        <w:trPr>
          <w:trHeight w:val="526" w:hRule="atLeast"/>
        </w:trPr>
        <w:tc>
          <w:tcPr>
            <w:tcW w:w="614"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0" w:right="0"/>
              <w:jc w:val="center"/>
              <w:rPr>
                <w:rFonts w:ascii="Times New Roman" w:hAnsi="Times New Roman" w:cs="Times New Roman"/>
                <w:sz w:val="20"/>
                <w:szCs w:val="20"/>
              </w:rPr>
            </w:pPr>
            <w:r>
              <w:rPr>
                <w:rFonts w:cs="Times New Roman"/>
                <w:sz w:val="20"/>
                <w:szCs w:val="20"/>
              </w:rPr>
              <w:t>34</w:t>
            </w:r>
          </w:p>
        </w:tc>
        <w:tc>
          <w:tcPr>
            <w:tcW w:w="1486"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113" w:right="0"/>
              <w:jc w:val="center"/>
              <w:rPr>
                <w:rFonts w:ascii="Times New Roman" w:hAnsi="Times New Roman" w:cs="Times New Roman"/>
                <w:sz w:val="20"/>
                <w:szCs w:val="20"/>
              </w:rPr>
            </w:pPr>
            <w:r>
              <w:rPr>
                <w:rFonts w:cs="Times New Roman"/>
                <w:sz w:val="20"/>
                <w:szCs w:val="20"/>
              </w:rPr>
            </w:r>
          </w:p>
        </w:tc>
        <w:tc>
          <w:tcPr>
            <w:tcW w:w="899"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3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677"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95"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130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2851"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r>
      <w:tr>
        <w:trPr>
          <w:trHeight w:val="526" w:hRule="atLeast"/>
        </w:trPr>
        <w:tc>
          <w:tcPr>
            <w:tcW w:w="614"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0" w:right="0"/>
              <w:jc w:val="center"/>
              <w:rPr>
                <w:rFonts w:ascii="Times New Roman" w:hAnsi="Times New Roman" w:cs="Times New Roman"/>
                <w:sz w:val="20"/>
                <w:szCs w:val="20"/>
              </w:rPr>
            </w:pPr>
            <w:r>
              <w:rPr>
                <w:rFonts w:cs="Times New Roman"/>
                <w:sz w:val="20"/>
                <w:szCs w:val="20"/>
              </w:rPr>
              <w:t>35</w:t>
            </w:r>
          </w:p>
        </w:tc>
        <w:tc>
          <w:tcPr>
            <w:tcW w:w="1486"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113" w:right="0"/>
              <w:jc w:val="center"/>
              <w:rPr>
                <w:rFonts w:ascii="Times New Roman" w:hAnsi="Times New Roman" w:cs="Times New Roman"/>
                <w:sz w:val="20"/>
                <w:szCs w:val="20"/>
              </w:rPr>
            </w:pPr>
            <w:r>
              <w:rPr>
                <w:rFonts w:cs="Times New Roman"/>
                <w:sz w:val="20"/>
                <w:szCs w:val="20"/>
              </w:rPr>
            </w:r>
          </w:p>
        </w:tc>
        <w:tc>
          <w:tcPr>
            <w:tcW w:w="899"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3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677"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95"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130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2851"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r>
      <w:tr>
        <w:trPr>
          <w:trHeight w:val="526" w:hRule="atLeast"/>
        </w:trPr>
        <w:tc>
          <w:tcPr>
            <w:tcW w:w="614"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0" w:right="0"/>
              <w:jc w:val="center"/>
              <w:rPr>
                <w:rFonts w:ascii="Times New Roman" w:hAnsi="Times New Roman" w:cs="Times New Roman"/>
                <w:sz w:val="20"/>
                <w:szCs w:val="20"/>
              </w:rPr>
            </w:pPr>
            <w:r>
              <w:rPr>
                <w:rFonts w:cs="Times New Roman"/>
                <w:sz w:val="20"/>
                <w:szCs w:val="20"/>
              </w:rPr>
              <w:t>36</w:t>
            </w:r>
          </w:p>
        </w:tc>
        <w:tc>
          <w:tcPr>
            <w:tcW w:w="1486"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113" w:right="0"/>
              <w:jc w:val="center"/>
              <w:rPr>
                <w:rFonts w:ascii="Times New Roman" w:hAnsi="Times New Roman" w:cs="Times New Roman"/>
                <w:sz w:val="20"/>
                <w:szCs w:val="20"/>
              </w:rPr>
            </w:pPr>
            <w:r>
              <w:rPr>
                <w:rFonts w:cs="Times New Roman"/>
                <w:sz w:val="20"/>
                <w:szCs w:val="20"/>
              </w:rPr>
            </w:r>
          </w:p>
        </w:tc>
        <w:tc>
          <w:tcPr>
            <w:tcW w:w="899"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3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677"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95"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130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2851"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r>
      <w:tr>
        <w:trPr>
          <w:trHeight w:val="526" w:hRule="atLeast"/>
        </w:trPr>
        <w:tc>
          <w:tcPr>
            <w:tcW w:w="614"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0" w:right="0"/>
              <w:jc w:val="center"/>
              <w:rPr>
                <w:rFonts w:ascii="Times New Roman" w:hAnsi="Times New Roman" w:cs="Times New Roman"/>
                <w:sz w:val="20"/>
                <w:szCs w:val="20"/>
              </w:rPr>
            </w:pPr>
            <w:r>
              <w:rPr>
                <w:rFonts w:cs="Times New Roman"/>
                <w:sz w:val="20"/>
                <w:szCs w:val="20"/>
              </w:rPr>
              <w:t>37</w:t>
            </w:r>
          </w:p>
        </w:tc>
        <w:tc>
          <w:tcPr>
            <w:tcW w:w="1486"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113" w:right="0"/>
              <w:jc w:val="center"/>
              <w:rPr>
                <w:rFonts w:ascii="Times New Roman" w:hAnsi="Times New Roman" w:cs="Times New Roman"/>
                <w:sz w:val="20"/>
                <w:szCs w:val="20"/>
              </w:rPr>
            </w:pPr>
            <w:r>
              <w:rPr>
                <w:rFonts w:cs="Times New Roman"/>
                <w:sz w:val="20"/>
                <w:szCs w:val="20"/>
              </w:rPr>
            </w:r>
          </w:p>
        </w:tc>
        <w:tc>
          <w:tcPr>
            <w:tcW w:w="899"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3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677"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95"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130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2851"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r>
      <w:tr>
        <w:trPr>
          <w:trHeight w:val="526" w:hRule="atLeast"/>
        </w:trPr>
        <w:tc>
          <w:tcPr>
            <w:tcW w:w="614"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0" w:right="0"/>
              <w:jc w:val="center"/>
              <w:rPr>
                <w:rFonts w:ascii="Times New Roman" w:hAnsi="Times New Roman" w:cs="Times New Roman"/>
                <w:sz w:val="20"/>
                <w:szCs w:val="20"/>
              </w:rPr>
            </w:pPr>
            <w:r>
              <w:rPr>
                <w:rFonts w:cs="Times New Roman"/>
                <w:sz w:val="20"/>
                <w:szCs w:val="20"/>
              </w:rPr>
              <w:t>38</w:t>
            </w:r>
          </w:p>
        </w:tc>
        <w:tc>
          <w:tcPr>
            <w:tcW w:w="1486"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113" w:right="0"/>
              <w:jc w:val="center"/>
              <w:rPr>
                <w:rFonts w:ascii="Times New Roman" w:hAnsi="Times New Roman" w:cs="Times New Roman"/>
                <w:sz w:val="20"/>
                <w:szCs w:val="20"/>
              </w:rPr>
            </w:pPr>
            <w:r>
              <w:rPr>
                <w:rFonts w:cs="Times New Roman"/>
                <w:sz w:val="20"/>
                <w:szCs w:val="20"/>
              </w:rPr>
            </w:r>
          </w:p>
        </w:tc>
        <w:tc>
          <w:tcPr>
            <w:tcW w:w="899"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3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677"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95"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130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2851"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r>
      <w:tr>
        <w:trPr>
          <w:trHeight w:val="526" w:hRule="atLeast"/>
        </w:trPr>
        <w:tc>
          <w:tcPr>
            <w:tcW w:w="614"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0" w:right="0"/>
              <w:jc w:val="center"/>
              <w:rPr>
                <w:rFonts w:ascii="Times New Roman" w:hAnsi="Times New Roman" w:cs="Times New Roman"/>
                <w:sz w:val="20"/>
                <w:szCs w:val="20"/>
              </w:rPr>
            </w:pPr>
            <w:r>
              <w:rPr>
                <w:rFonts w:cs="Times New Roman"/>
                <w:sz w:val="20"/>
                <w:szCs w:val="20"/>
              </w:rPr>
              <w:t>39</w:t>
            </w:r>
          </w:p>
        </w:tc>
        <w:tc>
          <w:tcPr>
            <w:tcW w:w="1486"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113" w:right="0"/>
              <w:jc w:val="center"/>
              <w:rPr>
                <w:rFonts w:ascii="Times New Roman" w:hAnsi="Times New Roman" w:cs="Times New Roman"/>
                <w:sz w:val="20"/>
                <w:szCs w:val="20"/>
              </w:rPr>
            </w:pPr>
            <w:r>
              <w:rPr>
                <w:rFonts w:cs="Times New Roman"/>
                <w:sz w:val="20"/>
                <w:szCs w:val="20"/>
              </w:rPr>
            </w:r>
          </w:p>
        </w:tc>
        <w:tc>
          <w:tcPr>
            <w:tcW w:w="899"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3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677"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95"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130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2851"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r>
      <w:tr>
        <w:trPr>
          <w:trHeight w:val="526" w:hRule="atLeast"/>
        </w:trPr>
        <w:tc>
          <w:tcPr>
            <w:tcW w:w="614"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0" w:right="0"/>
              <w:jc w:val="center"/>
              <w:rPr>
                <w:rFonts w:ascii="Times New Roman" w:hAnsi="Times New Roman" w:cs="Times New Roman"/>
                <w:sz w:val="20"/>
                <w:szCs w:val="20"/>
              </w:rPr>
            </w:pPr>
            <w:r>
              <w:rPr>
                <w:rFonts w:cs="Times New Roman"/>
                <w:sz w:val="20"/>
                <w:szCs w:val="20"/>
              </w:rPr>
              <w:t>40</w:t>
            </w:r>
          </w:p>
        </w:tc>
        <w:tc>
          <w:tcPr>
            <w:tcW w:w="1486"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113" w:right="0"/>
              <w:jc w:val="center"/>
              <w:rPr>
                <w:rFonts w:ascii="Times New Roman" w:hAnsi="Times New Roman" w:cs="Times New Roman"/>
                <w:sz w:val="20"/>
                <w:szCs w:val="20"/>
              </w:rPr>
            </w:pPr>
            <w:r>
              <w:rPr>
                <w:rFonts w:cs="Times New Roman"/>
                <w:sz w:val="20"/>
                <w:szCs w:val="20"/>
              </w:rPr>
            </w:r>
          </w:p>
        </w:tc>
        <w:tc>
          <w:tcPr>
            <w:tcW w:w="899"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3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677"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95"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130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2851"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r>
      <w:tr>
        <w:trPr>
          <w:trHeight w:val="526" w:hRule="atLeast"/>
        </w:trPr>
        <w:tc>
          <w:tcPr>
            <w:tcW w:w="614"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0" w:right="0"/>
              <w:jc w:val="center"/>
              <w:rPr>
                <w:rFonts w:ascii="Times New Roman" w:hAnsi="Times New Roman" w:cs="Times New Roman"/>
                <w:sz w:val="20"/>
                <w:szCs w:val="20"/>
              </w:rPr>
            </w:pPr>
            <w:r>
              <w:rPr>
                <w:rFonts w:cs="Times New Roman"/>
                <w:sz w:val="20"/>
                <w:szCs w:val="20"/>
              </w:rPr>
              <w:t>41</w:t>
            </w:r>
          </w:p>
        </w:tc>
        <w:tc>
          <w:tcPr>
            <w:tcW w:w="1486"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113" w:right="0"/>
              <w:jc w:val="center"/>
              <w:rPr>
                <w:rFonts w:ascii="Times New Roman" w:hAnsi="Times New Roman" w:cs="Times New Roman"/>
                <w:sz w:val="20"/>
                <w:szCs w:val="20"/>
              </w:rPr>
            </w:pPr>
            <w:r>
              <w:rPr>
                <w:rFonts w:cs="Times New Roman"/>
                <w:sz w:val="20"/>
                <w:szCs w:val="20"/>
              </w:rPr>
            </w:r>
          </w:p>
        </w:tc>
        <w:tc>
          <w:tcPr>
            <w:tcW w:w="899"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3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677"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95"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130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2851"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r>
      <w:tr>
        <w:trPr>
          <w:trHeight w:val="526" w:hRule="atLeast"/>
        </w:trPr>
        <w:tc>
          <w:tcPr>
            <w:tcW w:w="614"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0" w:right="0"/>
              <w:jc w:val="center"/>
              <w:rPr>
                <w:rFonts w:ascii="Times New Roman" w:hAnsi="Times New Roman" w:cs="Times New Roman"/>
                <w:sz w:val="20"/>
                <w:szCs w:val="20"/>
              </w:rPr>
            </w:pPr>
            <w:r>
              <w:rPr>
                <w:rFonts w:cs="Times New Roman"/>
                <w:sz w:val="20"/>
                <w:szCs w:val="20"/>
              </w:rPr>
              <w:t>42</w:t>
            </w:r>
          </w:p>
        </w:tc>
        <w:tc>
          <w:tcPr>
            <w:tcW w:w="1486"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113" w:right="0"/>
              <w:jc w:val="center"/>
              <w:rPr>
                <w:rFonts w:ascii="Times New Roman" w:hAnsi="Times New Roman" w:cs="Times New Roman"/>
                <w:sz w:val="20"/>
                <w:szCs w:val="20"/>
              </w:rPr>
            </w:pPr>
            <w:r>
              <w:rPr>
                <w:rFonts w:cs="Times New Roman"/>
                <w:sz w:val="20"/>
                <w:szCs w:val="20"/>
              </w:rPr>
            </w:r>
          </w:p>
        </w:tc>
        <w:tc>
          <w:tcPr>
            <w:tcW w:w="899"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3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677"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95"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130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2851"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r>
      <w:tr>
        <w:trPr>
          <w:trHeight w:val="526" w:hRule="atLeast"/>
        </w:trPr>
        <w:tc>
          <w:tcPr>
            <w:tcW w:w="614"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0" w:right="0"/>
              <w:jc w:val="center"/>
              <w:rPr>
                <w:rFonts w:ascii="Times New Roman" w:hAnsi="Times New Roman" w:cs="Times New Roman"/>
                <w:sz w:val="20"/>
                <w:szCs w:val="20"/>
              </w:rPr>
            </w:pPr>
            <w:r>
              <w:rPr>
                <w:rFonts w:cs="Times New Roman"/>
                <w:sz w:val="20"/>
                <w:szCs w:val="20"/>
              </w:rPr>
              <w:t>43</w:t>
            </w:r>
          </w:p>
        </w:tc>
        <w:tc>
          <w:tcPr>
            <w:tcW w:w="1486"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113" w:right="0"/>
              <w:jc w:val="center"/>
              <w:rPr>
                <w:rFonts w:ascii="Times New Roman" w:hAnsi="Times New Roman" w:cs="Times New Roman"/>
                <w:sz w:val="20"/>
                <w:szCs w:val="20"/>
              </w:rPr>
            </w:pPr>
            <w:r>
              <w:rPr>
                <w:rFonts w:cs="Times New Roman"/>
                <w:sz w:val="20"/>
                <w:szCs w:val="20"/>
              </w:rPr>
            </w:r>
          </w:p>
        </w:tc>
        <w:tc>
          <w:tcPr>
            <w:tcW w:w="899"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3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677"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95"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130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2851"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r>
      <w:tr>
        <w:trPr>
          <w:trHeight w:val="526" w:hRule="atLeast"/>
        </w:trPr>
        <w:tc>
          <w:tcPr>
            <w:tcW w:w="614"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0" w:right="0"/>
              <w:jc w:val="center"/>
              <w:rPr>
                <w:rFonts w:ascii="Times New Roman" w:hAnsi="Times New Roman" w:cs="Times New Roman"/>
                <w:sz w:val="20"/>
                <w:szCs w:val="20"/>
              </w:rPr>
            </w:pPr>
            <w:r>
              <w:rPr>
                <w:rFonts w:cs="Times New Roman"/>
                <w:sz w:val="20"/>
                <w:szCs w:val="20"/>
              </w:rPr>
              <w:t>44</w:t>
            </w:r>
          </w:p>
        </w:tc>
        <w:tc>
          <w:tcPr>
            <w:tcW w:w="1486"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113" w:right="0"/>
              <w:jc w:val="center"/>
              <w:rPr>
                <w:rFonts w:ascii="Times New Roman" w:hAnsi="Times New Roman" w:cs="Times New Roman"/>
                <w:b/>
                <w:bCs/>
              </w:rPr>
            </w:pPr>
            <w:r>
              <w:rPr>
                <w:rFonts w:cs="Times New Roman"/>
                <w:b/>
                <w:bCs/>
              </w:rPr>
            </w:r>
          </w:p>
        </w:tc>
        <w:tc>
          <w:tcPr>
            <w:tcW w:w="899"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3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677"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95"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130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2851"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r>
      <w:tr>
        <w:trPr>
          <w:trHeight w:val="526" w:hRule="atLeast"/>
        </w:trPr>
        <w:tc>
          <w:tcPr>
            <w:tcW w:w="614"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0" w:right="0"/>
              <w:jc w:val="center"/>
              <w:rPr>
                <w:rFonts w:ascii="Times New Roman" w:hAnsi="Times New Roman" w:cs="Times New Roman"/>
                <w:sz w:val="20"/>
                <w:szCs w:val="20"/>
              </w:rPr>
            </w:pPr>
            <w:r>
              <w:rPr>
                <w:rFonts w:cs="Times New Roman"/>
                <w:sz w:val="20"/>
                <w:szCs w:val="20"/>
              </w:rPr>
              <w:t>45</w:t>
            </w:r>
          </w:p>
        </w:tc>
        <w:tc>
          <w:tcPr>
            <w:tcW w:w="1486"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113" w:right="0"/>
              <w:jc w:val="center"/>
              <w:rPr>
                <w:rFonts w:ascii="Times New Roman" w:hAnsi="Times New Roman" w:cs="Times New Roman"/>
                <w:b/>
                <w:bCs/>
              </w:rPr>
            </w:pPr>
            <w:r>
              <w:rPr>
                <w:rFonts w:cs="Times New Roman"/>
                <w:b/>
                <w:bCs/>
              </w:rPr>
            </w:r>
          </w:p>
        </w:tc>
        <w:tc>
          <w:tcPr>
            <w:tcW w:w="899"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3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677"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95"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130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2851"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r>
      <w:tr>
        <w:trPr>
          <w:trHeight w:val="526" w:hRule="atLeast"/>
        </w:trPr>
        <w:tc>
          <w:tcPr>
            <w:tcW w:w="614"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0" w:right="0"/>
              <w:jc w:val="center"/>
              <w:rPr>
                <w:rFonts w:ascii="Times New Roman" w:hAnsi="Times New Roman" w:cs="Times New Roman"/>
                <w:sz w:val="20"/>
                <w:szCs w:val="20"/>
              </w:rPr>
            </w:pPr>
            <w:r>
              <w:rPr>
                <w:rFonts w:cs="Times New Roman"/>
                <w:sz w:val="20"/>
                <w:szCs w:val="20"/>
              </w:rPr>
              <w:t>46</w:t>
            </w:r>
          </w:p>
        </w:tc>
        <w:tc>
          <w:tcPr>
            <w:tcW w:w="1486"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113" w:right="0"/>
              <w:jc w:val="center"/>
              <w:rPr>
                <w:rFonts w:ascii="Times New Roman" w:hAnsi="Times New Roman" w:cs="Times New Roman"/>
                <w:sz w:val="20"/>
                <w:szCs w:val="20"/>
              </w:rPr>
            </w:pPr>
            <w:r>
              <w:rPr>
                <w:rFonts w:cs="Times New Roman"/>
                <w:sz w:val="20"/>
                <w:szCs w:val="20"/>
              </w:rPr>
            </w:r>
          </w:p>
        </w:tc>
        <w:tc>
          <w:tcPr>
            <w:tcW w:w="899"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3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677"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95"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130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2851"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r>
      <w:tr>
        <w:trPr>
          <w:trHeight w:val="526" w:hRule="atLeast"/>
        </w:trPr>
        <w:tc>
          <w:tcPr>
            <w:tcW w:w="614"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0" w:right="0"/>
              <w:jc w:val="center"/>
              <w:rPr>
                <w:rFonts w:ascii="Times New Roman" w:hAnsi="Times New Roman" w:cs="Times New Roman"/>
                <w:sz w:val="20"/>
                <w:szCs w:val="20"/>
              </w:rPr>
            </w:pPr>
            <w:r>
              <w:rPr>
                <w:rFonts w:cs="Times New Roman"/>
                <w:sz w:val="20"/>
                <w:szCs w:val="20"/>
              </w:rPr>
              <w:t>47</w:t>
            </w:r>
          </w:p>
        </w:tc>
        <w:tc>
          <w:tcPr>
            <w:tcW w:w="1486"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113" w:right="0"/>
              <w:jc w:val="center"/>
              <w:rPr>
                <w:rFonts w:ascii="Times New Roman" w:hAnsi="Times New Roman" w:cs="Times New Roman"/>
                <w:sz w:val="20"/>
                <w:szCs w:val="20"/>
              </w:rPr>
            </w:pPr>
            <w:r>
              <w:rPr>
                <w:rFonts w:cs="Times New Roman"/>
                <w:sz w:val="20"/>
                <w:szCs w:val="20"/>
              </w:rPr>
            </w:r>
          </w:p>
        </w:tc>
        <w:tc>
          <w:tcPr>
            <w:tcW w:w="899"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3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677"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95"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130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2851"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r>
      <w:tr>
        <w:trPr>
          <w:trHeight w:val="526" w:hRule="atLeast"/>
        </w:trPr>
        <w:tc>
          <w:tcPr>
            <w:tcW w:w="614"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0" w:right="0"/>
              <w:jc w:val="center"/>
              <w:rPr>
                <w:rFonts w:ascii="Times New Roman" w:hAnsi="Times New Roman" w:cs="Times New Roman"/>
                <w:sz w:val="20"/>
                <w:szCs w:val="20"/>
              </w:rPr>
            </w:pPr>
            <w:r>
              <w:rPr>
                <w:rFonts w:cs="Times New Roman"/>
                <w:sz w:val="20"/>
                <w:szCs w:val="20"/>
              </w:rPr>
              <w:t>48</w:t>
            </w:r>
          </w:p>
        </w:tc>
        <w:tc>
          <w:tcPr>
            <w:tcW w:w="1486"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113" w:right="0"/>
              <w:jc w:val="center"/>
              <w:rPr>
                <w:rFonts w:ascii="Times New Roman" w:hAnsi="Times New Roman" w:cs="Times New Roman"/>
                <w:sz w:val="20"/>
                <w:szCs w:val="20"/>
              </w:rPr>
            </w:pPr>
            <w:r>
              <w:rPr>
                <w:rFonts w:cs="Times New Roman"/>
                <w:sz w:val="20"/>
                <w:szCs w:val="20"/>
              </w:rPr>
            </w:r>
          </w:p>
        </w:tc>
        <w:tc>
          <w:tcPr>
            <w:tcW w:w="899"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3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677"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95"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130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2851"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r>
      <w:tr>
        <w:trPr>
          <w:trHeight w:val="526" w:hRule="atLeast"/>
        </w:trPr>
        <w:tc>
          <w:tcPr>
            <w:tcW w:w="614"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0" w:right="0"/>
              <w:jc w:val="center"/>
              <w:rPr>
                <w:rFonts w:ascii="Times New Roman" w:hAnsi="Times New Roman" w:cs="Times New Roman"/>
                <w:sz w:val="20"/>
                <w:szCs w:val="20"/>
              </w:rPr>
            </w:pPr>
            <w:r>
              <w:rPr>
                <w:rFonts w:cs="Times New Roman"/>
                <w:sz w:val="20"/>
                <w:szCs w:val="20"/>
              </w:rPr>
              <w:t>49</w:t>
            </w:r>
          </w:p>
        </w:tc>
        <w:tc>
          <w:tcPr>
            <w:tcW w:w="1486"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113" w:right="0"/>
              <w:jc w:val="center"/>
              <w:rPr>
                <w:rFonts w:ascii="Times New Roman" w:hAnsi="Times New Roman" w:cs="Times New Roman"/>
                <w:sz w:val="20"/>
                <w:szCs w:val="20"/>
              </w:rPr>
            </w:pPr>
            <w:r>
              <w:rPr>
                <w:rFonts w:cs="Times New Roman"/>
                <w:sz w:val="20"/>
                <w:szCs w:val="20"/>
              </w:rPr>
            </w:r>
          </w:p>
        </w:tc>
        <w:tc>
          <w:tcPr>
            <w:tcW w:w="899"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3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677"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95"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130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2851"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r>
      <w:tr>
        <w:trPr>
          <w:trHeight w:val="526" w:hRule="atLeast"/>
        </w:trPr>
        <w:tc>
          <w:tcPr>
            <w:tcW w:w="614"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0" w:right="0"/>
              <w:jc w:val="center"/>
              <w:rPr>
                <w:rFonts w:ascii="Times New Roman" w:hAnsi="Times New Roman" w:cs="Times New Roman"/>
                <w:sz w:val="20"/>
                <w:szCs w:val="20"/>
              </w:rPr>
            </w:pPr>
            <w:r>
              <w:rPr>
                <w:rFonts w:cs="Times New Roman"/>
                <w:sz w:val="20"/>
                <w:szCs w:val="20"/>
              </w:rPr>
              <w:t>50</w:t>
            </w:r>
          </w:p>
        </w:tc>
        <w:tc>
          <w:tcPr>
            <w:tcW w:w="1486"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113" w:right="0"/>
              <w:jc w:val="center"/>
              <w:rPr>
                <w:rFonts w:ascii="Times New Roman" w:hAnsi="Times New Roman" w:cs="Times New Roman"/>
                <w:sz w:val="20"/>
                <w:szCs w:val="20"/>
              </w:rPr>
            </w:pPr>
            <w:r>
              <w:rPr>
                <w:rFonts w:cs="Times New Roman"/>
                <w:sz w:val="20"/>
                <w:szCs w:val="20"/>
              </w:rPr>
            </w:r>
          </w:p>
        </w:tc>
        <w:tc>
          <w:tcPr>
            <w:tcW w:w="899"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3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677"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95"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130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2851"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r>
      <w:tr>
        <w:trPr>
          <w:trHeight w:val="526" w:hRule="atLeast"/>
        </w:trPr>
        <w:tc>
          <w:tcPr>
            <w:tcW w:w="614"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0" w:right="0"/>
              <w:jc w:val="center"/>
              <w:rPr>
                <w:rFonts w:ascii="Times New Roman" w:hAnsi="Times New Roman" w:cs="Times New Roman"/>
                <w:sz w:val="20"/>
                <w:szCs w:val="20"/>
              </w:rPr>
            </w:pPr>
            <w:r>
              <w:rPr>
                <w:rFonts w:cs="Times New Roman"/>
                <w:sz w:val="20"/>
                <w:szCs w:val="20"/>
              </w:rPr>
              <w:t>51</w:t>
            </w:r>
          </w:p>
        </w:tc>
        <w:tc>
          <w:tcPr>
            <w:tcW w:w="1486"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113" w:right="0"/>
              <w:jc w:val="center"/>
              <w:rPr>
                <w:rFonts w:ascii="Times New Roman" w:hAnsi="Times New Roman" w:cs="Times New Roman"/>
                <w:sz w:val="20"/>
                <w:szCs w:val="20"/>
              </w:rPr>
            </w:pPr>
            <w:r>
              <w:rPr>
                <w:rFonts w:cs="Times New Roman"/>
                <w:sz w:val="20"/>
                <w:szCs w:val="20"/>
              </w:rPr>
            </w:r>
          </w:p>
        </w:tc>
        <w:tc>
          <w:tcPr>
            <w:tcW w:w="899"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3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677"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95"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130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2851"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r>
      <w:tr>
        <w:trPr>
          <w:trHeight w:val="526" w:hRule="atLeast"/>
        </w:trPr>
        <w:tc>
          <w:tcPr>
            <w:tcW w:w="614"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0" w:right="0"/>
              <w:jc w:val="center"/>
              <w:rPr>
                <w:rFonts w:ascii="Times New Roman" w:hAnsi="Times New Roman" w:cs="Times New Roman"/>
                <w:sz w:val="20"/>
                <w:szCs w:val="20"/>
              </w:rPr>
            </w:pPr>
            <w:r>
              <w:rPr>
                <w:rFonts w:cs="Times New Roman"/>
                <w:sz w:val="20"/>
                <w:szCs w:val="20"/>
              </w:rPr>
              <w:t>52</w:t>
            </w:r>
          </w:p>
        </w:tc>
        <w:tc>
          <w:tcPr>
            <w:tcW w:w="1486"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113" w:right="0"/>
              <w:jc w:val="center"/>
              <w:rPr>
                <w:rFonts w:ascii="Times New Roman" w:hAnsi="Times New Roman" w:cs="Times New Roman"/>
                <w:sz w:val="20"/>
                <w:szCs w:val="20"/>
              </w:rPr>
            </w:pPr>
            <w:r>
              <w:rPr>
                <w:rFonts w:cs="Times New Roman"/>
                <w:sz w:val="20"/>
                <w:szCs w:val="20"/>
              </w:rPr>
            </w:r>
          </w:p>
        </w:tc>
        <w:tc>
          <w:tcPr>
            <w:tcW w:w="899"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3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677"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95"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130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2851"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r>
      <w:tr>
        <w:trPr>
          <w:trHeight w:val="526" w:hRule="atLeast"/>
        </w:trPr>
        <w:tc>
          <w:tcPr>
            <w:tcW w:w="614"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0" w:right="0"/>
              <w:jc w:val="center"/>
              <w:rPr>
                <w:rFonts w:ascii="Times New Roman" w:hAnsi="Times New Roman" w:cs="Times New Roman"/>
                <w:sz w:val="20"/>
                <w:szCs w:val="20"/>
              </w:rPr>
            </w:pPr>
            <w:r>
              <w:rPr>
                <w:rFonts w:cs="Times New Roman"/>
                <w:sz w:val="20"/>
                <w:szCs w:val="20"/>
              </w:rPr>
              <w:t>53</w:t>
            </w:r>
          </w:p>
        </w:tc>
        <w:tc>
          <w:tcPr>
            <w:tcW w:w="1486"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113" w:right="0"/>
              <w:jc w:val="center"/>
              <w:rPr>
                <w:rFonts w:ascii="Times New Roman" w:hAnsi="Times New Roman" w:cs="Times New Roman"/>
                <w:sz w:val="20"/>
                <w:szCs w:val="20"/>
              </w:rPr>
            </w:pPr>
            <w:r>
              <w:rPr>
                <w:rFonts w:cs="Times New Roman"/>
                <w:sz w:val="20"/>
                <w:szCs w:val="20"/>
              </w:rPr>
            </w:r>
          </w:p>
        </w:tc>
        <w:tc>
          <w:tcPr>
            <w:tcW w:w="899"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3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677"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95"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130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2851"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r>
      <w:tr>
        <w:trPr>
          <w:trHeight w:val="526" w:hRule="atLeast"/>
        </w:trPr>
        <w:tc>
          <w:tcPr>
            <w:tcW w:w="614"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0" w:right="0"/>
              <w:jc w:val="center"/>
              <w:rPr>
                <w:rFonts w:ascii="Times New Roman" w:hAnsi="Times New Roman" w:cs="Times New Roman"/>
                <w:sz w:val="20"/>
                <w:szCs w:val="20"/>
              </w:rPr>
            </w:pPr>
            <w:r>
              <w:rPr>
                <w:rFonts w:cs="Times New Roman"/>
                <w:sz w:val="20"/>
                <w:szCs w:val="20"/>
              </w:rPr>
              <w:t>54</w:t>
            </w:r>
          </w:p>
        </w:tc>
        <w:tc>
          <w:tcPr>
            <w:tcW w:w="1486"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113" w:right="0"/>
              <w:jc w:val="center"/>
              <w:rPr>
                <w:rFonts w:ascii="Times New Roman" w:hAnsi="Times New Roman" w:cs="Times New Roman"/>
                <w:sz w:val="20"/>
                <w:szCs w:val="20"/>
              </w:rPr>
            </w:pPr>
            <w:r>
              <w:rPr>
                <w:rFonts w:cs="Times New Roman"/>
                <w:sz w:val="20"/>
                <w:szCs w:val="20"/>
              </w:rPr>
            </w:r>
          </w:p>
        </w:tc>
        <w:tc>
          <w:tcPr>
            <w:tcW w:w="899"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3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677"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95"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130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2851"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r>
      <w:tr>
        <w:trPr>
          <w:trHeight w:val="526" w:hRule="atLeast"/>
        </w:trPr>
        <w:tc>
          <w:tcPr>
            <w:tcW w:w="614"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0" w:right="0"/>
              <w:jc w:val="center"/>
              <w:rPr>
                <w:rFonts w:ascii="Times New Roman" w:hAnsi="Times New Roman" w:cs="Times New Roman"/>
                <w:sz w:val="20"/>
                <w:szCs w:val="20"/>
              </w:rPr>
            </w:pPr>
            <w:r>
              <w:rPr>
                <w:rFonts w:cs="Times New Roman"/>
                <w:sz w:val="20"/>
                <w:szCs w:val="20"/>
              </w:rPr>
              <w:t>55</w:t>
            </w:r>
          </w:p>
        </w:tc>
        <w:tc>
          <w:tcPr>
            <w:tcW w:w="1486"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113" w:right="0"/>
              <w:jc w:val="center"/>
              <w:rPr>
                <w:rFonts w:ascii="Times New Roman" w:hAnsi="Times New Roman" w:cs="Times New Roman"/>
                <w:b/>
                <w:bCs/>
              </w:rPr>
            </w:pPr>
            <w:r>
              <w:rPr>
                <w:rFonts w:cs="Times New Roman"/>
                <w:b/>
                <w:bCs/>
              </w:rPr>
            </w:r>
          </w:p>
        </w:tc>
        <w:tc>
          <w:tcPr>
            <w:tcW w:w="899"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3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677"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95"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130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2851"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r>
      <w:tr>
        <w:trPr>
          <w:trHeight w:val="526" w:hRule="atLeast"/>
        </w:trPr>
        <w:tc>
          <w:tcPr>
            <w:tcW w:w="614"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0" w:right="0"/>
              <w:jc w:val="center"/>
              <w:rPr>
                <w:rFonts w:ascii="Times New Roman" w:hAnsi="Times New Roman" w:cs="Times New Roman"/>
                <w:sz w:val="20"/>
                <w:szCs w:val="20"/>
              </w:rPr>
            </w:pPr>
            <w:r>
              <w:rPr>
                <w:rFonts w:cs="Times New Roman"/>
                <w:sz w:val="20"/>
                <w:szCs w:val="20"/>
              </w:rPr>
              <w:t>56</w:t>
            </w:r>
          </w:p>
        </w:tc>
        <w:tc>
          <w:tcPr>
            <w:tcW w:w="1486"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113" w:right="0"/>
              <w:jc w:val="center"/>
              <w:rPr>
                <w:rFonts w:ascii="Times New Roman" w:hAnsi="Times New Roman" w:cs="Times New Roman"/>
                <w:b/>
                <w:bCs/>
              </w:rPr>
            </w:pPr>
            <w:r>
              <w:rPr>
                <w:rFonts w:cs="Times New Roman"/>
                <w:b/>
                <w:bCs/>
              </w:rPr>
            </w:r>
          </w:p>
        </w:tc>
        <w:tc>
          <w:tcPr>
            <w:tcW w:w="899"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3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677"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95"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130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2851"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r>
      <w:tr>
        <w:trPr>
          <w:trHeight w:val="526" w:hRule="atLeast"/>
        </w:trPr>
        <w:tc>
          <w:tcPr>
            <w:tcW w:w="614"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0" w:right="0"/>
              <w:jc w:val="center"/>
              <w:rPr>
                <w:rFonts w:ascii="Times New Roman" w:hAnsi="Times New Roman" w:cs="Times New Roman"/>
                <w:sz w:val="20"/>
                <w:szCs w:val="20"/>
              </w:rPr>
            </w:pPr>
            <w:r>
              <w:rPr>
                <w:rFonts w:cs="Times New Roman"/>
                <w:sz w:val="20"/>
                <w:szCs w:val="20"/>
              </w:rPr>
              <w:t>57</w:t>
            </w:r>
          </w:p>
        </w:tc>
        <w:tc>
          <w:tcPr>
            <w:tcW w:w="1486"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113" w:right="0"/>
              <w:jc w:val="center"/>
              <w:rPr>
                <w:rFonts w:ascii="Times New Roman" w:hAnsi="Times New Roman" w:cs="Times New Roman"/>
                <w:sz w:val="20"/>
                <w:szCs w:val="20"/>
              </w:rPr>
            </w:pPr>
            <w:r>
              <w:rPr>
                <w:rFonts w:cs="Times New Roman"/>
                <w:sz w:val="20"/>
                <w:szCs w:val="20"/>
              </w:rPr>
            </w:r>
          </w:p>
        </w:tc>
        <w:tc>
          <w:tcPr>
            <w:tcW w:w="899"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3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677"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95"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130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2851"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r>
      <w:tr>
        <w:trPr>
          <w:trHeight w:val="526" w:hRule="atLeast"/>
        </w:trPr>
        <w:tc>
          <w:tcPr>
            <w:tcW w:w="614"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0" w:right="0"/>
              <w:jc w:val="center"/>
              <w:rPr>
                <w:rFonts w:ascii="Times New Roman" w:hAnsi="Times New Roman" w:cs="Times New Roman"/>
                <w:sz w:val="20"/>
                <w:szCs w:val="20"/>
              </w:rPr>
            </w:pPr>
            <w:r>
              <w:rPr>
                <w:rFonts w:cs="Times New Roman"/>
                <w:sz w:val="20"/>
                <w:szCs w:val="20"/>
              </w:rPr>
              <w:t>58</w:t>
            </w:r>
          </w:p>
        </w:tc>
        <w:tc>
          <w:tcPr>
            <w:tcW w:w="1486"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113" w:right="0"/>
              <w:jc w:val="center"/>
              <w:rPr>
                <w:rFonts w:ascii="Times New Roman" w:hAnsi="Times New Roman" w:cs="Times New Roman"/>
                <w:sz w:val="20"/>
                <w:szCs w:val="20"/>
              </w:rPr>
            </w:pPr>
            <w:r>
              <w:rPr>
                <w:rFonts w:cs="Times New Roman"/>
                <w:sz w:val="20"/>
                <w:szCs w:val="20"/>
              </w:rPr>
            </w:r>
          </w:p>
        </w:tc>
        <w:tc>
          <w:tcPr>
            <w:tcW w:w="899"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3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677"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95"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130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2851"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r>
      <w:tr>
        <w:trPr>
          <w:trHeight w:val="526" w:hRule="atLeast"/>
        </w:trPr>
        <w:tc>
          <w:tcPr>
            <w:tcW w:w="614"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0" w:right="0"/>
              <w:jc w:val="center"/>
              <w:rPr>
                <w:rFonts w:ascii="Times New Roman" w:hAnsi="Times New Roman" w:cs="Times New Roman"/>
                <w:sz w:val="20"/>
                <w:szCs w:val="20"/>
              </w:rPr>
            </w:pPr>
            <w:r>
              <w:rPr>
                <w:rFonts w:cs="Times New Roman"/>
                <w:sz w:val="20"/>
                <w:szCs w:val="20"/>
              </w:rPr>
              <w:t>59</w:t>
            </w:r>
          </w:p>
        </w:tc>
        <w:tc>
          <w:tcPr>
            <w:tcW w:w="1486"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113" w:right="0"/>
              <w:jc w:val="center"/>
              <w:rPr>
                <w:rFonts w:ascii="Times New Roman" w:hAnsi="Times New Roman" w:cs="Times New Roman"/>
                <w:sz w:val="20"/>
                <w:szCs w:val="20"/>
              </w:rPr>
            </w:pPr>
            <w:r>
              <w:rPr>
                <w:rFonts w:cs="Times New Roman"/>
                <w:sz w:val="20"/>
                <w:szCs w:val="20"/>
              </w:rPr>
            </w:r>
          </w:p>
        </w:tc>
        <w:tc>
          <w:tcPr>
            <w:tcW w:w="899"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3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677"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95"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130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2851"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r>
      <w:tr>
        <w:trPr>
          <w:trHeight w:val="526" w:hRule="atLeast"/>
        </w:trPr>
        <w:tc>
          <w:tcPr>
            <w:tcW w:w="614"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0" w:right="0"/>
              <w:jc w:val="center"/>
              <w:rPr>
                <w:rFonts w:ascii="Times New Roman" w:hAnsi="Times New Roman" w:cs="Times New Roman"/>
                <w:sz w:val="20"/>
                <w:szCs w:val="20"/>
              </w:rPr>
            </w:pPr>
            <w:r>
              <w:rPr>
                <w:rFonts w:cs="Times New Roman"/>
                <w:sz w:val="20"/>
                <w:szCs w:val="20"/>
              </w:rPr>
              <w:t>60</w:t>
            </w:r>
          </w:p>
        </w:tc>
        <w:tc>
          <w:tcPr>
            <w:tcW w:w="1486"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113" w:right="0"/>
              <w:jc w:val="center"/>
              <w:rPr>
                <w:rFonts w:ascii="Times New Roman" w:hAnsi="Times New Roman" w:cs="Times New Roman"/>
                <w:sz w:val="20"/>
                <w:szCs w:val="20"/>
              </w:rPr>
            </w:pPr>
            <w:r>
              <w:rPr>
                <w:rFonts w:cs="Times New Roman"/>
                <w:sz w:val="20"/>
                <w:szCs w:val="20"/>
              </w:rPr>
            </w:r>
          </w:p>
        </w:tc>
        <w:tc>
          <w:tcPr>
            <w:tcW w:w="899"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3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677"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95"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130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2851"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r>
      <w:tr>
        <w:trPr>
          <w:trHeight w:val="526" w:hRule="atLeast"/>
        </w:trPr>
        <w:tc>
          <w:tcPr>
            <w:tcW w:w="614"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0" w:right="0"/>
              <w:jc w:val="center"/>
              <w:rPr>
                <w:rFonts w:ascii="Times New Roman" w:hAnsi="Times New Roman" w:cs="Times New Roman"/>
                <w:sz w:val="20"/>
                <w:szCs w:val="20"/>
              </w:rPr>
            </w:pPr>
            <w:r>
              <w:rPr>
                <w:rFonts w:cs="Times New Roman"/>
                <w:sz w:val="20"/>
                <w:szCs w:val="20"/>
              </w:rPr>
              <w:t>61</w:t>
            </w:r>
          </w:p>
        </w:tc>
        <w:tc>
          <w:tcPr>
            <w:tcW w:w="1486"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113" w:right="0"/>
              <w:jc w:val="center"/>
              <w:rPr>
                <w:rFonts w:ascii="Times New Roman" w:hAnsi="Times New Roman" w:cs="Times New Roman"/>
                <w:sz w:val="20"/>
                <w:szCs w:val="20"/>
              </w:rPr>
            </w:pPr>
            <w:r>
              <w:rPr>
                <w:rFonts w:cs="Times New Roman"/>
                <w:sz w:val="20"/>
                <w:szCs w:val="20"/>
              </w:rPr>
            </w:r>
          </w:p>
        </w:tc>
        <w:tc>
          <w:tcPr>
            <w:tcW w:w="899"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3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677"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95"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130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2851"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r>
      <w:tr>
        <w:trPr>
          <w:trHeight w:val="526" w:hRule="atLeast"/>
        </w:trPr>
        <w:tc>
          <w:tcPr>
            <w:tcW w:w="614"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0" w:right="0"/>
              <w:jc w:val="center"/>
              <w:rPr>
                <w:rFonts w:ascii="Times New Roman" w:hAnsi="Times New Roman" w:cs="Times New Roman"/>
                <w:sz w:val="20"/>
                <w:szCs w:val="20"/>
              </w:rPr>
            </w:pPr>
            <w:r>
              <w:rPr>
                <w:rFonts w:cs="Times New Roman"/>
                <w:sz w:val="20"/>
                <w:szCs w:val="20"/>
              </w:rPr>
              <w:t>62</w:t>
            </w:r>
          </w:p>
        </w:tc>
        <w:tc>
          <w:tcPr>
            <w:tcW w:w="1486"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113" w:right="0"/>
              <w:jc w:val="center"/>
              <w:rPr>
                <w:rFonts w:ascii="Times New Roman" w:hAnsi="Times New Roman" w:cs="Times New Roman"/>
                <w:sz w:val="20"/>
                <w:szCs w:val="20"/>
              </w:rPr>
            </w:pPr>
            <w:r>
              <w:rPr>
                <w:rFonts w:cs="Times New Roman"/>
                <w:sz w:val="20"/>
                <w:szCs w:val="20"/>
              </w:rPr>
            </w:r>
          </w:p>
        </w:tc>
        <w:tc>
          <w:tcPr>
            <w:tcW w:w="899"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3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677"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95"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130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2851"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r>
      <w:tr>
        <w:trPr>
          <w:trHeight w:val="526" w:hRule="atLeast"/>
        </w:trPr>
        <w:tc>
          <w:tcPr>
            <w:tcW w:w="614"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0" w:right="0"/>
              <w:jc w:val="center"/>
              <w:rPr>
                <w:rFonts w:ascii="Times New Roman" w:hAnsi="Times New Roman" w:cs="Times New Roman"/>
                <w:sz w:val="20"/>
                <w:szCs w:val="20"/>
              </w:rPr>
            </w:pPr>
            <w:r>
              <w:rPr>
                <w:rFonts w:cs="Times New Roman"/>
                <w:sz w:val="20"/>
                <w:szCs w:val="20"/>
              </w:rPr>
              <w:t>63</w:t>
            </w:r>
          </w:p>
        </w:tc>
        <w:tc>
          <w:tcPr>
            <w:tcW w:w="1486"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113" w:right="0"/>
              <w:jc w:val="center"/>
              <w:rPr>
                <w:rFonts w:ascii="Times New Roman" w:hAnsi="Times New Roman" w:cs="Times New Roman"/>
                <w:sz w:val="20"/>
                <w:szCs w:val="20"/>
              </w:rPr>
            </w:pPr>
            <w:r>
              <w:rPr>
                <w:rFonts w:cs="Times New Roman"/>
                <w:sz w:val="20"/>
                <w:szCs w:val="20"/>
              </w:rPr>
            </w:r>
          </w:p>
        </w:tc>
        <w:tc>
          <w:tcPr>
            <w:tcW w:w="899"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3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677"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95"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130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2851"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r>
      <w:tr>
        <w:trPr>
          <w:trHeight w:val="526" w:hRule="atLeast"/>
        </w:trPr>
        <w:tc>
          <w:tcPr>
            <w:tcW w:w="614"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0" w:right="0"/>
              <w:jc w:val="center"/>
              <w:rPr>
                <w:rFonts w:ascii="Times New Roman" w:hAnsi="Times New Roman" w:cs="Times New Roman"/>
                <w:sz w:val="20"/>
                <w:szCs w:val="20"/>
              </w:rPr>
            </w:pPr>
            <w:r>
              <w:rPr>
                <w:rFonts w:cs="Times New Roman"/>
                <w:sz w:val="20"/>
                <w:szCs w:val="20"/>
              </w:rPr>
              <w:t>64</w:t>
            </w:r>
          </w:p>
        </w:tc>
        <w:tc>
          <w:tcPr>
            <w:tcW w:w="1486"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113" w:right="0"/>
              <w:jc w:val="center"/>
              <w:rPr>
                <w:rFonts w:ascii="Times New Roman" w:hAnsi="Times New Roman" w:cs="Times New Roman"/>
                <w:sz w:val="20"/>
                <w:szCs w:val="20"/>
              </w:rPr>
            </w:pPr>
            <w:r>
              <w:rPr>
                <w:rFonts w:cs="Times New Roman"/>
                <w:sz w:val="20"/>
                <w:szCs w:val="20"/>
              </w:rPr>
            </w:r>
          </w:p>
        </w:tc>
        <w:tc>
          <w:tcPr>
            <w:tcW w:w="899"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3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677"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95"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130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2851"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r>
      <w:tr>
        <w:trPr>
          <w:trHeight w:val="526" w:hRule="atLeast"/>
        </w:trPr>
        <w:tc>
          <w:tcPr>
            <w:tcW w:w="614"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0" w:right="0"/>
              <w:jc w:val="center"/>
              <w:rPr>
                <w:rFonts w:ascii="Times New Roman" w:hAnsi="Times New Roman" w:cs="Times New Roman"/>
                <w:sz w:val="20"/>
                <w:szCs w:val="20"/>
              </w:rPr>
            </w:pPr>
            <w:r>
              <w:rPr>
                <w:rFonts w:cs="Times New Roman"/>
                <w:sz w:val="20"/>
                <w:szCs w:val="20"/>
              </w:rPr>
              <w:t>65</w:t>
            </w:r>
          </w:p>
        </w:tc>
        <w:tc>
          <w:tcPr>
            <w:tcW w:w="1486"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113" w:right="0"/>
              <w:jc w:val="center"/>
              <w:rPr>
                <w:rFonts w:ascii="Times New Roman" w:hAnsi="Times New Roman" w:cs="Times New Roman"/>
                <w:b/>
                <w:bCs/>
              </w:rPr>
            </w:pPr>
            <w:r>
              <w:rPr>
                <w:rFonts w:cs="Times New Roman"/>
                <w:b/>
                <w:bCs/>
              </w:rPr>
            </w:r>
          </w:p>
        </w:tc>
        <w:tc>
          <w:tcPr>
            <w:tcW w:w="899"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3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677"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95"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130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2851"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r>
      <w:tr>
        <w:trPr>
          <w:trHeight w:val="526" w:hRule="atLeast"/>
        </w:trPr>
        <w:tc>
          <w:tcPr>
            <w:tcW w:w="614"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0" w:right="0"/>
              <w:jc w:val="center"/>
              <w:rPr>
                <w:rFonts w:ascii="Times New Roman" w:hAnsi="Times New Roman" w:cs="Times New Roman"/>
                <w:sz w:val="20"/>
                <w:szCs w:val="20"/>
              </w:rPr>
            </w:pPr>
            <w:r>
              <w:rPr>
                <w:rFonts w:cs="Times New Roman"/>
                <w:sz w:val="20"/>
                <w:szCs w:val="20"/>
              </w:rPr>
              <w:t>66</w:t>
            </w:r>
          </w:p>
        </w:tc>
        <w:tc>
          <w:tcPr>
            <w:tcW w:w="1486"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113" w:right="0"/>
              <w:jc w:val="center"/>
              <w:rPr>
                <w:rFonts w:ascii="Times New Roman" w:hAnsi="Times New Roman" w:cs="Times New Roman"/>
                <w:b/>
                <w:bCs/>
                <w:color w:val="FF0000"/>
              </w:rPr>
            </w:pPr>
            <w:r>
              <w:rPr>
                <w:rFonts w:cs="Times New Roman"/>
                <w:b/>
                <w:bCs/>
                <w:color w:val="FF0000"/>
              </w:rPr>
            </w:r>
          </w:p>
        </w:tc>
        <w:tc>
          <w:tcPr>
            <w:tcW w:w="899"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3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677"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95"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130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2851"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r>
      <w:tr>
        <w:trPr>
          <w:trHeight w:val="526" w:hRule="atLeast"/>
        </w:trPr>
        <w:tc>
          <w:tcPr>
            <w:tcW w:w="614"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0" w:right="0"/>
              <w:jc w:val="center"/>
              <w:rPr>
                <w:rFonts w:ascii="Times New Roman" w:hAnsi="Times New Roman" w:cs="Times New Roman"/>
                <w:sz w:val="20"/>
                <w:szCs w:val="20"/>
              </w:rPr>
            </w:pPr>
            <w:r>
              <w:rPr>
                <w:rFonts w:cs="Times New Roman"/>
                <w:sz w:val="20"/>
                <w:szCs w:val="20"/>
              </w:rPr>
              <w:t>67</w:t>
            </w:r>
          </w:p>
        </w:tc>
        <w:tc>
          <w:tcPr>
            <w:tcW w:w="1486"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113" w:right="0"/>
              <w:jc w:val="center"/>
              <w:rPr>
                <w:rFonts w:ascii="Times New Roman" w:hAnsi="Times New Roman" w:cs="Times New Roman"/>
                <w:sz w:val="20"/>
                <w:szCs w:val="20"/>
              </w:rPr>
            </w:pPr>
            <w:r>
              <w:rPr>
                <w:rFonts w:cs="Times New Roman"/>
                <w:sz w:val="20"/>
                <w:szCs w:val="20"/>
              </w:rPr>
            </w:r>
          </w:p>
        </w:tc>
        <w:tc>
          <w:tcPr>
            <w:tcW w:w="899"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3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677"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95"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130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2851"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r>
      <w:tr>
        <w:trPr>
          <w:trHeight w:val="526" w:hRule="atLeast"/>
        </w:trPr>
        <w:tc>
          <w:tcPr>
            <w:tcW w:w="614"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0" w:right="0"/>
              <w:jc w:val="center"/>
              <w:rPr>
                <w:rFonts w:ascii="Times New Roman" w:hAnsi="Times New Roman" w:cs="Times New Roman"/>
                <w:sz w:val="20"/>
                <w:szCs w:val="20"/>
              </w:rPr>
            </w:pPr>
            <w:r>
              <w:rPr>
                <w:rFonts w:cs="Times New Roman"/>
                <w:sz w:val="20"/>
                <w:szCs w:val="20"/>
              </w:rPr>
              <w:t>68</w:t>
            </w:r>
          </w:p>
        </w:tc>
        <w:tc>
          <w:tcPr>
            <w:tcW w:w="1486"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113" w:right="0"/>
              <w:jc w:val="center"/>
              <w:rPr>
                <w:rFonts w:ascii="Times New Roman" w:hAnsi="Times New Roman" w:cs="Times New Roman"/>
                <w:sz w:val="20"/>
                <w:szCs w:val="20"/>
              </w:rPr>
            </w:pPr>
            <w:r>
              <w:rPr>
                <w:rFonts w:cs="Times New Roman"/>
                <w:sz w:val="20"/>
                <w:szCs w:val="20"/>
              </w:rPr>
            </w:r>
          </w:p>
        </w:tc>
        <w:tc>
          <w:tcPr>
            <w:tcW w:w="899"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3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677"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95"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130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2851"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r>
      <w:tr>
        <w:trPr>
          <w:trHeight w:val="526" w:hRule="atLeast"/>
        </w:trPr>
        <w:tc>
          <w:tcPr>
            <w:tcW w:w="614"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0" w:right="0"/>
              <w:jc w:val="center"/>
              <w:rPr>
                <w:rFonts w:ascii="Times New Roman" w:hAnsi="Times New Roman" w:cs="Times New Roman"/>
                <w:sz w:val="20"/>
                <w:szCs w:val="20"/>
              </w:rPr>
            </w:pPr>
            <w:r>
              <w:rPr>
                <w:rFonts w:cs="Times New Roman"/>
                <w:sz w:val="20"/>
                <w:szCs w:val="20"/>
              </w:rPr>
              <w:t>69</w:t>
            </w:r>
          </w:p>
        </w:tc>
        <w:tc>
          <w:tcPr>
            <w:tcW w:w="1486"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113" w:right="0"/>
              <w:jc w:val="center"/>
              <w:rPr>
                <w:rFonts w:ascii="Times New Roman" w:hAnsi="Times New Roman" w:cs="Times New Roman"/>
                <w:sz w:val="20"/>
                <w:szCs w:val="20"/>
              </w:rPr>
            </w:pPr>
            <w:r>
              <w:rPr>
                <w:rFonts w:cs="Times New Roman"/>
                <w:sz w:val="20"/>
                <w:szCs w:val="20"/>
              </w:rPr>
            </w:r>
          </w:p>
        </w:tc>
        <w:tc>
          <w:tcPr>
            <w:tcW w:w="899"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3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677"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95"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130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2851"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r>
      <w:tr>
        <w:trPr>
          <w:trHeight w:val="526" w:hRule="atLeast"/>
        </w:trPr>
        <w:tc>
          <w:tcPr>
            <w:tcW w:w="614"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0" w:right="0"/>
              <w:jc w:val="center"/>
              <w:rPr>
                <w:rFonts w:ascii="Times New Roman" w:hAnsi="Times New Roman" w:cs="Times New Roman"/>
                <w:sz w:val="20"/>
                <w:szCs w:val="20"/>
              </w:rPr>
            </w:pPr>
            <w:r>
              <w:rPr>
                <w:rFonts w:cs="Times New Roman"/>
                <w:sz w:val="20"/>
                <w:szCs w:val="20"/>
              </w:rPr>
              <w:t>70</w:t>
            </w:r>
          </w:p>
        </w:tc>
        <w:tc>
          <w:tcPr>
            <w:tcW w:w="1486"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113" w:right="0"/>
              <w:jc w:val="center"/>
              <w:rPr>
                <w:rFonts w:ascii="Times New Roman" w:hAnsi="Times New Roman" w:cs="Times New Roman"/>
                <w:sz w:val="20"/>
                <w:szCs w:val="20"/>
              </w:rPr>
            </w:pPr>
            <w:r>
              <w:rPr>
                <w:rFonts w:cs="Times New Roman"/>
                <w:sz w:val="20"/>
                <w:szCs w:val="20"/>
              </w:rPr>
            </w:r>
          </w:p>
        </w:tc>
        <w:tc>
          <w:tcPr>
            <w:tcW w:w="899"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3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677"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95"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130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2851"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r>
      <w:tr>
        <w:trPr>
          <w:trHeight w:val="526" w:hRule="atLeast"/>
        </w:trPr>
        <w:tc>
          <w:tcPr>
            <w:tcW w:w="614"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0" w:right="0"/>
              <w:jc w:val="center"/>
              <w:rPr>
                <w:rFonts w:ascii="Times New Roman" w:hAnsi="Times New Roman" w:cs="Times New Roman"/>
                <w:sz w:val="20"/>
                <w:szCs w:val="20"/>
              </w:rPr>
            </w:pPr>
            <w:r>
              <w:rPr>
                <w:rFonts w:cs="Times New Roman"/>
                <w:sz w:val="20"/>
                <w:szCs w:val="20"/>
              </w:rPr>
              <w:t>71</w:t>
            </w:r>
          </w:p>
        </w:tc>
        <w:tc>
          <w:tcPr>
            <w:tcW w:w="1486"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113" w:right="0"/>
              <w:jc w:val="center"/>
              <w:rPr>
                <w:rFonts w:ascii="Times New Roman" w:hAnsi="Times New Roman" w:cs="Times New Roman"/>
                <w:b/>
                <w:bCs/>
              </w:rPr>
            </w:pPr>
            <w:r>
              <w:rPr>
                <w:rFonts w:cs="Times New Roman"/>
                <w:b/>
                <w:bCs/>
              </w:rPr>
            </w:r>
          </w:p>
        </w:tc>
        <w:tc>
          <w:tcPr>
            <w:tcW w:w="899"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3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677"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95"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130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2851"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r>
      <w:tr>
        <w:trPr>
          <w:trHeight w:val="526" w:hRule="atLeast"/>
        </w:trPr>
        <w:tc>
          <w:tcPr>
            <w:tcW w:w="614"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0" w:right="0"/>
              <w:jc w:val="center"/>
              <w:rPr>
                <w:rFonts w:ascii="Times New Roman" w:hAnsi="Times New Roman" w:cs="Times New Roman"/>
                <w:sz w:val="20"/>
                <w:szCs w:val="20"/>
              </w:rPr>
            </w:pPr>
            <w:r>
              <w:rPr>
                <w:rFonts w:cs="Times New Roman"/>
                <w:sz w:val="20"/>
                <w:szCs w:val="20"/>
              </w:rPr>
              <w:t>72</w:t>
            </w:r>
          </w:p>
        </w:tc>
        <w:tc>
          <w:tcPr>
            <w:tcW w:w="1486"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113" w:right="0"/>
              <w:jc w:val="center"/>
              <w:rPr>
                <w:rFonts w:ascii="Times New Roman" w:hAnsi="Times New Roman" w:cs="Times New Roman"/>
                <w:sz w:val="20"/>
                <w:szCs w:val="20"/>
              </w:rPr>
            </w:pPr>
            <w:r>
              <w:rPr>
                <w:rFonts w:cs="Times New Roman"/>
                <w:sz w:val="20"/>
                <w:szCs w:val="20"/>
              </w:rPr>
            </w:r>
          </w:p>
        </w:tc>
        <w:tc>
          <w:tcPr>
            <w:tcW w:w="899"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3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677"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95"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130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2851"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r>
      <w:tr>
        <w:trPr>
          <w:trHeight w:val="526" w:hRule="atLeast"/>
        </w:trPr>
        <w:tc>
          <w:tcPr>
            <w:tcW w:w="614"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0" w:right="0"/>
              <w:jc w:val="center"/>
              <w:rPr>
                <w:rFonts w:ascii="Times New Roman" w:hAnsi="Times New Roman" w:cs="Times New Roman"/>
                <w:sz w:val="20"/>
                <w:szCs w:val="20"/>
              </w:rPr>
            </w:pPr>
            <w:r>
              <w:rPr>
                <w:rFonts w:cs="Times New Roman"/>
                <w:sz w:val="20"/>
                <w:szCs w:val="20"/>
              </w:rPr>
              <w:t>73</w:t>
            </w:r>
          </w:p>
        </w:tc>
        <w:tc>
          <w:tcPr>
            <w:tcW w:w="1486"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113" w:right="0"/>
              <w:jc w:val="center"/>
              <w:rPr>
                <w:rFonts w:ascii="Times New Roman" w:hAnsi="Times New Roman" w:cs="Times New Roman"/>
                <w:sz w:val="20"/>
                <w:szCs w:val="20"/>
              </w:rPr>
            </w:pPr>
            <w:r>
              <w:rPr>
                <w:rFonts w:cs="Times New Roman"/>
                <w:sz w:val="20"/>
                <w:szCs w:val="20"/>
              </w:rPr>
            </w:r>
          </w:p>
        </w:tc>
        <w:tc>
          <w:tcPr>
            <w:tcW w:w="899"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3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677"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95"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130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2851"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r>
      <w:tr>
        <w:trPr>
          <w:trHeight w:val="526" w:hRule="atLeast"/>
        </w:trPr>
        <w:tc>
          <w:tcPr>
            <w:tcW w:w="614"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0" w:right="0"/>
              <w:jc w:val="center"/>
              <w:rPr>
                <w:rFonts w:ascii="Times New Roman" w:hAnsi="Times New Roman" w:cs="Times New Roman"/>
                <w:sz w:val="20"/>
                <w:szCs w:val="20"/>
              </w:rPr>
            </w:pPr>
            <w:r>
              <w:rPr>
                <w:rFonts w:cs="Times New Roman"/>
                <w:sz w:val="20"/>
                <w:szCs w:val="20"/>
              </w:rPr>
              <w:t>74</w:t>
            </w:r>
          </w:p>
        </w:tc>
        <w:tc>
          <w:tcPr>
            <w:tcW w:w="1486"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113" w:right="0"/>
              <w:jc w:val="center"/>
              <w:rPr>
                <w:rFonts w:ascii="Times New Roman" w:hAnsi="Times New Roman" w:cs="Times New Roman"/>
                <w:sz w:val="20"/>
                <w:szCs w:val="20"/>
              </w:rPr>
            </w:pPr>
            <w:r>
              <w:rPr>
                <w:rFonts w:cs="Times New Roman"/>
                <w:sz w:val="20"/>
                <w:szCs w:val="20"/>
              </w:rPr>
            </w:r>
          </w:p>
        </w:tc>
        <w:tc>
          <w:tcPr>
            <w:tcW w:w="899"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3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677"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95"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130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2851"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r>
      <w:tr>
        <w:trPr>
          <w:trHeight w:val="526" w:hRule="atLeast"/>
        </w:trPr>
        <w:tc>
          <w:tcPr>
            <w:tcW w:w="614"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0" w:right="0"/>
              <w:jc w:val="center"/>
              <w:rPr>
                <w:rFonts w:ascii="Times New Roman" w:hAnsi="Times New Roman" w:cs="Times New Roman"/>
                <w:sz w:val="20"/>
                <w:szCs w:val="20"/>
              </w:rPr>
            </w:pPr>
            <w:r>
              <w:rPr>
                <w:rFonts w:cs="Times New Roman"/>
                <w:sz w:val="20"/>
                <w:szCs w:val="20"/>
              </w:rPr>
              <w:t>75</w:t>
            </w:r>
          </w:p>
        </w:tc>
        <w:tc>
          <w:tcPr>
            <w:tcW w:w="1486"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113" w:right="0"/>
              <w:jc w:val="center"/>
              <w:rPr>
                <w:rFonts w:ascii="Times New Roman" w:hAnsi="Times New Roman" w:cs="Times New Roman"/>
                <w:sz w:val="20"/>
                <w:szCs w:val="20"/>
              </w:rPr>
            </w:pPr>
            <w:r>
              <w:rPr>
                <w:rFonts w:cs="Times New Roman"/>
                <w:sz w:val="20"/>
                <w:szCs w:val="20"/>
              </w:rPr>
            </w:r>
          </w:p>
        </w:tc>
        <w:tc>
          <w:tcPr>
            <w:tcW w:w="899"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3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677"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95"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130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2851"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r>
      <w:tr>
        <w:trPr>
          <w:trHeight w:val="526" w:hRule="atLeast"/>
        </w:trPr>
        <w:tc>
          <w:tcPr>
            <w:tcW w:w="614"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0" w:right="0"/>
              <w:jc w:val="center"/>
              <w:rPr>
                <w:rFonts w:ascii="Times New Roman" w:hAnsi="Times New Roman" w:cs="Times New Roman"/>
                <w:sz w:val="20"/>
                <w:szCs w:val="20"/>
              </w:rPr>
            </w:pPr>
            <w:r>
              <w:rPr>
                <w:rFonts w:cs="Times New Roman"/>
                <w:sz w:val="20"/>
                <w:szCs w:val="20"/>
              </w:rPr>
              <w:t>76</w:t>
            </w:r>
          </w:p>
        </w:tc>
        <w:tc>
          <w:tcPr>
            <w:tcW w:w="1486"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113" w:right="0"/>
              <w:jc w:val="center"/>
              <w:rPr>
                <w:rFonts w:ascii="Times New Roman" w:hAnsi="Times New Roman" w:cs="Times New Roman"/>
                <w:sz w:val="20"/>
                <w:szCs w:val="20"/>
              </w:rPr>
            </w:pPr>
            <w:r>
              <w:rPr>
                <w:rFonts w:cs="Times New Roman"/>
                <w:sz w:val="20"/>
                <w:szCs w:val="20"/>
              </w:rPr>
            </w:r>
          </w:p>
        </w:tc>
        <w:tc>
          <w:tcPr>
            <w:tcW w:w="899"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3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677"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95"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130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2851"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r>
      <w:tr>
        <w:trPr>
          <w:trHeight w:val="526" w:hRule="atLeast"/>
        </w:trPr>
        <w:tc>
          <w:tcPr>
            <w:tcW w:w="614"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0" w:right="0"/>
              <w:jc w:val="center"/>
              <w:rPr>
                <w:rFonts w:ascii="Times New Roman" w:hAnsi="Times New Roman" w:cs="Times New Roman"/>
                <w:sz w:val="20"/>
                <w:szCs w:val="20"/>
              </w:rPr>
            </w:pPr>
            <w:r>
              <w:rPr>
                <w:rFonts w:cs="Times New Roman"/>
                <w:sz w:val="20"/>
                <w:szCs w:val="20"/>
              </w:rPr>
              <w:t>77</w:t>
            </w:r>
          </w:p>
        </w:tc>
        <w:tc>
          <w:tcPr>
            <w:tcW w:w="1486"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113" w:right="0"/>
              <w:jc w:val="center"/>
              <w:rPr>
                <w:rFonts w:ascii="Times New Roman" w:hAnsi="Times New Roman" w:cs="Times New Roman"/>
                <w:sz w:val="20"/>
                <w:szCs w:val="20"/>
              </w:rPr>
            </w:pPr>
            <w:r>
              <w:rPr>
                <w:rFonts w:cs="Times New Roman"/>
                <w:sz w:val="20"/>
                <w:szCs w:val="20"/>
              </w:rPr>
            </w:r>
          </w:p>
        </w:tc>
        <w:tc>
          <w:tcPr>
            <w:tcW w:w="899"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3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677"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95"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130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2851"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r>
      <w:tr>
        <w:trPr>
          <w:trHeight w:val="526" w:hRule="atLeast"/>
        </w:trPr>
        <w:tc>
          <w:tcPr>
            <w:tcW w:w="614"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0" w:right="0"/>
              <w:jc w:val="center"/>
              <w:rPr>
                <w:rFonts w:ascii="Times New Roman" w:hAnsi="Times New Roman" w:cs="Times New Roman"/>
                <w:sz w:val="20"/>
                <w:szCs w:val="20"/>
              </w:rPr>
            </w:pPr>
            <w:r>
              <w:rPr>
                <w:rFonts w:cs="Times New Roman"/>
                <w:sz w:val="20"/>
                <w:szCs w:val="20"/>
              </w:rPr>
              <w:t>78</w:t>
            </w:r>
          </w:p>
        </w:tc>
        <w:tc>
          <w:tcPr>
            <w:tcW w:w="1486" w:type="dxa"/>
            <w:tcBorders>
              <w:left w:val="single" w:sz="6" w:space="0" w:color="000000"/>
              <w:bottom w:val="single" w:sz="6" w:space="0" w:color="000000"/>
              <w:right w:val="single" w:sz="6" w:space="0" w:color="000000"/>
            </w:tcBorders>
          </w:tcPr>
          <w:p>
            <w:pPr>
              <w:pStyle w:val="Style19"/>
              <w:widowControl w:val="false"/>
              <w:suppressLineNumbers/>
              <w:bidi w:val="0"/>
              <w:spacing w:lineRule="auto" w:line="276" w:before="120" w:after="120"/>
              <w:ind w:hanging="0" w:left="113" w:right="0"/>
              <w:jc w:val="center"/>
              <w:rPr>
                <w:rFonts w:ascii="Times New Roman" w:hAnsi="Times New Roman" w:cs="Times New Roman"/>
                <w:sz w:val="20"/>
                <w:szCs w:val="20"/>
              </w:rPr>
            </w:pPr>
            <w:r>
              <w:rPr>
                <w:rFonts w:cs="Times New Roman"/>
                <w:sz w:val="20"/>
                <w:szCs w:val="20"/>
              </w:rPr>
            </w:r>
          </w:p>
        </w:tc>
        <w:tc>
          <w:tcPr>
            <w:tcW w:w="899"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3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677"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795"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130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2851"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r>
      <w:tr>
        <w:trPr>
          <w:trHeight w:val="526" w:hRule="atLeast"/>
        </w:trPr>
        <w:tc>
          <w:tcPr>
            <w:tcW w:w="5205" w:type="dxa"/>
            <w:gridSpan w:val="6"/>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t>Итого</w:t>
            </w:r>
          </w:p>
        </w:tc>
        <w:tc>
          <w:tcPr>
            <w:tcW w:w="1304"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c>
          <w:tcPr>
            <w:tcW w:w="2851" w:type="dxa"/>
            <w:tcBorders>
              <w:left w:val="single" w:sz="6" w:space="0" w:color="000000"/>
              <w:bottom w:val="single" w:sz="6" w:space="0" w:color="000000"/>
              <w:right w:val="single" w:sz="6" w:space="0" w:color="000000"/>
            </w:tcBorders>
          </w:tcPr>
          <w:p>
            <w:pPr>
              <w:pStyle w:val="Normalunindented"/>
              <w:keepNext w:val="true"/>
              <w:spacing w:lineRule="auto" w:line="240" w:before="0" w:after="0"/>
              <w:jc w:val="center"/>
              <w:rPr>
                <w:sz w:val="20"/>
                <w:szCs w:val="20"/>
              </w:rPr>
            </w:pPr>
            <w:r>
              <w:rPr>
                <w:sz w:val="20"/>
                <w:szCs w:val="20"/>
              </w:rPr>
            </w:r>
          </w:p>
        </w:tc>
      </w:tr>
    </w:tbl>
    <w:p>
      <w:pPr>
        <w:pStyle w:val="EndnoteText"/>
        <w:ind w:firstLine="539"/>
        <w:jc w:val="both"/>
        <w:rPr/>
      </w:pPr>
      <w:r>
        <w:rPr/>
      </w:r>
    </w:p>
    <w:p>
      <w:pPr>
        <w:pStyle w:val="heading1normal"/>
        <w:numPr>
          <w:ilvl w:val="0"/>
          <w:numId w:val="0"/>
        </w:numPr>
        <w:spacing w:lineRule="auto" w:line="240"/>
        <w:ind w:hanging="0" w:left="0"/>
        <w:rPr/>
      </w:pPr>
      <w:r>
        <w:rPr/>
        <w:t>Адреса и реквизиты сторон</w:t>
      </w:r>
    </w:p>
    <w:tbl>
      <w:tblPr>
        <w:tblW w:w="5000" w:type="pct"/>
        <w:jc w:val="left"/>
        <w:tblInd w:w="101" w:type="dxa"/>
        <w:tblLayout w:type="fixed"/>
        <w:tblCellMar>
          <w:top w:w="0" w:type="dxa"/>
          <w:left w:w="108" w:type="dxa"/>
          <w:bottom w:w="0" w:type="dxa"/>
          <w:right w:w="108" w:type="dxa"/>
        </w:tblCellMar>
        <w:tblLook w:val="00a0"/>
      </w:tblPr>
      <w:tblGrid>
        <w:gridCol w:w="4535"/>
        <w:gridCol w:w="4820"/>
      </w:tblGrid>
      <w:tr>
        <w:trPr/>
        <w:tc>
          <w:tcPr>
            <w:tcW w:w="4535" w:type="dxa"/>
            <w:tcBorders>
              <w:top w:val="single" w:sz="6" w:space="0" w:color="000000"/>
              <w:left w:val="single" w:sz="6" w:space="0" w:color="000000"/>
              <w:bottom w:val="single" w:sz="6" w:space="0" w:color="000000"/>
              <w:right w:val="single" w:sz="6" w:space="0" w:color="000000"/>
            </w:tcBorders>
          </w:tcPr>
          <w:p>
            <w:pPr>
              <w:pStyle w:val="Normalunindented"/>
              <w:keepNext w:val="true"/>
              <w:spacing w:lineRule="auto" w:line="240" w:before="120" w:after="120"/>
              <w:jc w:val="center"/>
              <w:rPr/>
            </w:pPr>
            <w:r>
              <w:rPr>
                <w:b/>
              </w:rPr>
              <w:t>Заказчик</w:t>
            </w:r>
          </w:p>
        </w:tc>
        <w:tc>
          <w:tcPr>
            <w:tcW w:w="4820" w:type="dxa"/>
            <w:tcBorders>
              <w:top w:val="single" w:sz="6" w:space="0" w:color="000000"/>
              <w:left w:val="single" w:sz="6" w:space="0" w:color="000000"/>
              <w:bottom w:val="single" w:sz="6" w:space="0" w:color="000000"/>
              <w:right w:val="single" w:sz="6" w:space="0" w:color="000000"/>
            </w:tcBorders>
          </w:tcPr>
          <w:p>
            <w:pPr>
              <w:pStyle w:val="Normalunindented"/>
              <w:keepNext w:val="true"/>
              <w:spacing w:lineRule="auto" w:line="240" w:before="120" w:after="120"/>
              <w:jc w:val="center"/>
              <w:rPr/>
            </w:pPr>
            <w:r>
              <w:rPr>
                <w:b/>
              </w:rPr>
              <w:t>Поставщик</w:t>
            </w:r>
          </w:p>
        </w:tc>
      </w:tr>
      <w:tr>
        <w:trPr/>
        <w:tc>
          <w:tcPr>
            <w:tcW w:w="4535" w:type="dxa"/>
            <w:tcBorders>
              <w:top w:val="single" w:sz="6" w:space="0" w:color="000000"/>
              <w:left w:val="single" w:sz="6" w:space="0" w:color="000000"/>
              <w:bottom w:val="single" w:sz="6" w:space="0" w:color="000000"/>
              <w:right w:val="single" w:sz="6" w:space="0" w:color="000000"/>
            </w:tcBorders>
          </w:tcPr>
          <w:p>
            <w:pPr>
              <w:pStyle w:val="Normalunindented"/>
              <w:keepNext w:val="true"/>
              <w:spacing w:lineRule="auto" w:line="240" w:before="120" w:after="120"/>
              <w:jc w:val="left"/>
              <w:rPr/>
            </w:pPr>
            <w:r>
              <w:rPr>
                <w:b/>
                <w:bCs/>
              </w:rPr>
              <w:t>Министерство культуры</w:t>
              <w:br/>
              <w:t>Владимирской области</w:t>
            </w:r>
          </w:p>
          <w:p>
            <w:pPr>
              <w:pStyle w:val="Normalunindented"/>
              <w:spacing w:lineRule="auto" w:line="240" w:before="120" w:after="120"/>
              <w:jc w:val="left"/>
              <w:rPr/>
            </w:pPr>
            <w:r>
              <w:rPr/>
              <w:t>Адрес: 600000, г. Владимир, ул. Музейная, 3</w:t>
            </w:r>
          </w:p>
          <w:p>
            <w:pPr>
              <w:pStyle w:val="Normalunindented"/>
              <w:spacing w:lineRule="auto" w:line="240" w:before="120" w:after="120"/>
              <w:jc w:val="left"/>
              <w:rPr/>
            </w:pPr>
            <w:r>
              <w:rPr/>
              <w:t>ОГРН 1033303412340</w:t>
            </w:r>
          </w:p>
          <w:p>
            <w:pPr>
              <w:pStyle w:val="Normalunindented"/>
              <w:spacing w:lineRule="auto" w:line="240" w:before="120" w:after="120"/>
              <w:jc w:val="left"/>
              <w:rPr/>
            </w:pPr>
            <w:r>
              <w:rPr/>
              <w:t>ИНН: 3329009299</w:t>
            </w:r>
          </w:p>
        </w:tc>
        <w:tc>
          <w:tcPr>
            <w:tcW w:w="4820" w:type="dxa"/>
            <w:tcBorders>
              <w:top w:val="single" w:sz="6" w:space="0" w:color="000000"/>
              <w:left w:val="single" w:sz="6" w:space="0" w:color="000000"/>
              <w:bottom w:val="single" w:sz="6" w:space="0" w:color="000000"/>
              <w:right w:val="single" w:sz="6" w:space="0" w:color="000000"/>
            </w:tcBorders>
          </w:tcPr>
          <w:p>
            <w:pPr>
              <w:pStyle w:val="Normalunindented"/>
              <w:keepNext w:val="true"/>
              <w:spacing w:lineRule="auto" w:line="240" w:before="120" w:after="120"/>
              <w:jc w:val="left"/>
              <w:rPr/>
            </w:pPr>
            <w:r>
              <w:rPr>
                <w:u w:val="single"/>
              </w:rPr>
              <w:t xml:space="preserve"> </w:t>
            </w:r>
            <w:r>
              <w:rPr/>
              <w:br/>
              <w:t>Место нахождения:</w:t>
              <w:br/>
              <w:t>ОГРН</w:t>
              <w:br/>
              <w:t>ИНН</w:t>
            </w:r>
          </w:p>
        </w:tc>
      </w:tr>
      <w:tr>
        <w:trPr>
          <w:trHeight w:val="1227" w:hRule="atLeast"/>
        </w:trPr>
        <w:tc>
          <w:tcPr>
            <w:tcW w:w="4535" w:type="dxa"/>
            <w:tcBorders>
              <w:top w:val="single" w:sz="6" w:space="0" w:color="000000"/>
              <w:left w:val="single" w:sz="6" w:space="0" w:color="000000"/>
              <w:bottom w:val="single" w:sz="6" w:space="0" w:color="000000"/>
              <w:right w:val="single" w:sz="6" w:space="0" w:color="000000"/>
            </w:tcBorders>
          </w:tcPr>
          <w:p>
            <w:pPr>
              <w:pStyle w:val="Normalunindented"/>
              <w:keepNext w:val="true"/>
              <w:spacing w:lineRule="auto" w:line="240" w:before="120" w:after="120"/>
              <w:jc w:val="left"/>
              <w:rPr/>
            </w:pPr>
            <w:r>
              <w:rPr/>
              <w:t>от имени Заказчика:</w:t>
              <w:br/>
            </w:r>
            <w:r>
              <w:rPr>
                <w:u w:val="single"/>
              </w:rPr>
              <w:t>Министр Культуры</w:t>
            </w:r>
          </w:p>
          <w:p>
            <w:pPr>
              <w:pStyle w:val="Normalunindented"/>
              <w:spacing w:lineRule="auto" w:line="240" w:before="120" w:after="120"/>
              <w:jc w:val="left"/>
              <w:rPr/>
            </w:pPr>
            <w:r>
              <w:rPr>
                <w:u w:val="single"/>
              </w:rPr>
              <w:br/>
              <w:t xml:space="preserve"> _________ / О.В. Демина /</w:t>
              <w:br/>
              <w:t>М.П.</w:t>
            </w:r>
          </w:p>
        </w:tc>
        <w:tc>
          <w:tcPr>
            <w:tcW w:w="4820" w:type="dxa"/>
            <w:tcBorders>
              <w:top w:val="single" w:sz="6" w:space="0" w:color="000000"/>
              <w:left w:val="single" w:sz="6" w:space="0" w:color="000000"/>
              <w:bottom w:val="single" w:sz="6" w:space="0" w:color="000000"/>
              <w:right w:val="single" w:sz="6" w:space="0" w:color="000000"/>
            </w:tcBorders>
          </w:tcPr>
          <w:p>
            <w:pPr>
              <w:pStyle w:val="Normalunindented"/>
              <w:keepNext w:val="true"/>
              <w:spacing w:lineRule="auto" w:line="240" w:before="120" w:after="120"/>
              <w:jc w:val="left"/>
              <w:rPr/>
            </w:pPr>
            <w:r>
              <w:rPr/>
              <w:t>от имени Поставщика:</w:t>
              <w:br/>
            </w:r>
            <w:r>
              <w:rPr>
                <w:u w:val="single"/>
              </w:rPr>
              <w:t xml:space="preserve"> (должность) </w:t>
            </w:r>
            <w:r>
              <w:rPr/>
              <w:br/>
            </w:r>
            <w:r>
              <w:rPr>
                <w:u w:val="single"/>
              </w:rPr>
              <w:t xml:space="preserve"> (подпись) </w:t>
            </w:r>
            <w:r>
              <w:rPr/>
              <w:t>/</w:t>
            </w:r>
            <w:r>
              <w:rPr>
                <w:u w:val="single"/>
              </w:rPr>
              <w:t xml:space="preserve"> (Ф.И.О.) </w:t>
            </w:r>
            <w:r>
              <w:rPr/>
              <w:t>/</w:t>
              <w:br/>
              <w:t>М.П.</w:t>
            </w:r>
            <w:bookmarkStart w:id="20" w:name="_ref_31214294"/>
            <w:bookmarkEnd w:id="20"/>
          </w:p>
        </w:tc>
      </w:tr>
    </w:tbl>
    <w:p>
      <w:pPr>
        <w:pStyle w:val="Normal"/>
        <w:spacing w:lineRule="auto" w:line="240"/>
        <w:rPr/>
      </w:pPr>
      <w:r>
        <w:rPr/>
      </w:r>
    </w:p>
    <w:p>
      <w:pPr>
        <w:pStyle w:val="Normal"/>
        <w:spacing w:lineRule="auto" w:line="240" w:before="120" w:after="120"/>
        <w:rPr/>
      </w:pPr>
      <w:r>
        <w:rPr/>
      </w:r>
    </w:p>
    <w:sectPr>
      <w:footerReference w:type="even" r:id="rId9"/>
      <w:footerReference w:type="default" r:id="rId10"/>
      <w:footerReference w:type="first" r:id="rId11"/>
      <w:type w:val="nextPage"/>
      <w:pgSz w:w="11906" w:h="16838"/>
      <w:pgMar w:left="1701" w:right="850" w:gutter="0" w:header="0" w:top="1134" w:footer="708"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swiss"/>
    <w:pitch w:val="variable"/>
  </w:font>
  <w:font w:name="Times New Roman">
    <w:charset w:val="cc"/>
    <w:family w:val="roman"/>
    <w:pitch w:val="variable"/>
  </w:font>
  <w:font w:name="Tahoma">
    <w:charset w:val="cc"/>
    <w:family w:val="swiss"/>
    <w:pitch w:val="variable"/>
  </w:font>
  <w:font w:name="Liberation Sans">
    <w:altName w:val="Arial"/>
    <w:charset w:val="cc"/>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id w:val="-1829814280"/>
      <w:docPartObj>
        <w:docPartGallery w:val="Page Numbers (Bottom of Page)"/>
        <w:docPartUnique w:val="true"/>
      </w:docPartObj>
    </w:sdtPr>
    <w:sdtContent>
      <w:p>
        <w:pPr>
          <w:pStyle w:val="Footer"/>
          <w:rPr/>
        </w:pPr>
        <w:r>
          <w:rPr/>
          <w:fldChar w:fldCharType="begin"/>
        </w:r>
        <w:r>
          <w:rPr/>
          <w:instrText xml:space="preserve"> PAGE </w:instrText>
        </w:r>
        <w:r>
          <w:rPr/>
          <w:fldChar w:fldCharType="separate"/>
        </w:r>
        <w:r>
          <w:rPr/>
          <w:t>11</w:t>
        </w:r>
        <w:r>
          <w:rPr/>
          <w:fldChar w:fldCharType="end"/>
        </w:r>
      </w:p>
    </w:sdtContent>
  </w:sdt>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id w:val="-1829814280"/>
      <w:docPartObj>
        <w:docPartGallery w:val="Page Numbers (Bottom of Page)"/>
        <w:docPartUnique w:val="true"/>
      </w:docPartObj>
    </w:sdtPr>
    <w:sdtContent>
      <w:p>
        <w:pPr>
          <w:pStyle w:val="Footer"/>
          <w:rPr/>
        </w:pPr>
        <w:r>
          <w:rPr/>
          <w:fldChar w:fldCharType="begin"/>
        </w:r>
        <w:r>
          <w:rPr/>
          <w:instrText xml:space="preserve"> PAGE </w:instrText>
        </w:r>
        <w:r>
          <w:rPr/>
          <w:fldChar w:fldCharType="separate"/>
        </w:r>
        <w:r>
          <w:rPr/>
          <w:t>11</w:t>
        </w:r>
        <w:r>
          <w:rPr/>
          <w:fldChar w:fldCharType="end"/>
        </w:r>
      </w:p>
    </w:sdtContent>
  </w:sdt>
  <w:p>
    <w:pPr>
      <w:pStyle w:val="Footer"/>
      <w:rPr/>
    </w:pPr>
    <w:r>
      <w:rPr/>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id w:val="-1829814280"/>
      <w:docPartObj>
        <w:docPartGallery w:val="Page Numbers (Bottom of Page)"/>
        <w:docPartUnique w:val="true"/>
      </w:docPartObj>
    </w:sdtPr>
    <w:sdtContent>
      <w:p>
        <w:pPr>
          <w:pStyle w:val="Footer"/>
          <w:rPr/>
        </w:pPr>
        <w:r>
          <w:rPr/>
          <w:fldChar w:fldCharType="begin"/>
        </w:r>
        <w:r>
          <w:rPr/>
          <w:instrText xml:space="preserve"> PAGE </w:instrText>
        </w:r>
        <w:r>
          <w:rPr/>
          <w:fldChar w:fldCharType="separate"/>
        </w:r>
        <w:r>
          <w:rPr/>
          <w:t>15</w:t>
        </w:r>
        <w:r>
          <w:rPr/>
          <w:fldChar w:fldCharType="end"/>
        </w:r>
      </w:p>
    </w:sdtContent>
  </w:sdt>
  <w:p>
    <w:pPr>
      <w:pStyle w:val="Footer"/>
      <w:rPr/>
    </w:pPr>
    <w:r>
      <w:rPr/>
    </w:r>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id w:val="-1829814280"/>
      <w:docPartObj>
        <w:docPartGallery w:val="Page Numbers (Bottom of Page)"/>
        <w:docPartUnique w:val="true"/>
      </w:docPartObj>
    </w:sdtPr>
    <w:sdtContent>
      <w:p>
        <w:pPr>
          <w:pStyle w:val="Footer"/>
          <w:rPr/>
        </w:pPr>
        <w:r>
          <w:rPr/>
          <w:fldChar w:fldCharType="begin"/>
        </w:r>
        <w:r>
          <w:rPr/>
          <w:instrText xml:space="preserve"> PAGE </w:instrText>
        </w:r>
        <w:r>
          <w:rPr/>
          <w:fldChar w:fldCharType="separate"/>
        </w:r>
        <w:r>
          <w:rPr/>
          <w:t>15</w:t>
        </w:r>
        <w:r>
          <w:rPr/>
          <w:fldChar w:fldCharType="end"/>
        </w:r>
      </w:p>
    </w:sdtContent>
  </w:sdt>
  <w:p>
    <w:pPr>
      <w:pStyle w:val="Footer"/>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pStyle w:val="Heading1"/>
      <w:lvlText w:val="%1."/>
      <w:lvlJc w:val="left"/>
      <w:pPr>
        <w:tabs>
          <w:tab w:val="num" w:pos="0"/>
        </w:tabs>
        <w:ind w:left="0" w:hanging="0"/>
      </w:pPr>
      <w:rPr>
        <w:rFonts w:cs="Times New Roman"/>
      </w:rPr>
    </w:lvl>
    <w:lvl w:ilvl="1">
      <w:start w:val="1"/>
      <w:numFmt w:val="decimal"/>
      <w:pStyle w:val="Heading2"/>
      <w:lvlText w:val="%1.%2."/>
      <w:lvlJc w:val="left"/>
      <w:pPr>
        <w:tabs>
          <w:tab w:val="num" w:pos="0"/>
        </w:tabs>
        <w:ind w:left="4254" w:hanging="0"/>
      </w:pPr>
      <w:rPr>
        <w:rFonts w:cs="Times New Roman"/>
        <w:i w:val="false"/>
        <w:color w:val="auto"/>
      </w:rPr>
    </w:lvl>
    <w:lvl w:ilvl="2">
      <w:start w:val="1"/>
      <w:numFmt w:val="decimal"/>
      <w:pStyle w:val="Heading3"/>
      <w:lvlText w:val="%1.%2.%3."/>
      <w:lvlJc w:val="left"/>
      <w:pPr>
        <w:tabs>
          <w:tab w:val="num" w:pos="0"/>
        </w:tabs>
        <w:ind w:left="0" w:hanging="0"/>
      </w:pPr>
      <w:rPr>
        <w:rFonts w:cs="Times New Roman"/>
        <w:i w:val="false"/>
      </w:rPr>
    </w:lvl>
    <w:lvl w:ilvl="3">
      <w:start w:val="1"/>
      <w:numFmt w:val="decimal"/>
      <w:pStyle w:val="Heading4"/>
      <w:lvlText w:val="%1.%2.%3.%4."/>
      <w:lvlJc w:val="left"/>
      <w:pPr>
        <w:tabs>
          <w:tab w:val="num" w:pos="0"/>
        </w:tabs>
        <w:ind w:left="0" w:hanging="0"/>
      </w:pPr>
      <w:rPr>
        <w:rFonts w:cs="Times New Roman"/>
      </w:rPr>
    </w:lvl>
    <w:lvl w:ilvl="4">
      <w:start w:val="1"/>
      <w:numFmt w:val="decimal"/>
      <w:pStyle w:val="Heading5"/>
      <w:lvlText w:val="%1.%2.%3.%4.%5."/>
      <w:lvlJc w:val="left"/>
      <w:pPr>
        <w:tabs>
          <w:tab w:val="num" w:pos="0"/>
        </w:tabs>
        <w:ind w:left="0" w:hanging="0"/>
      </w:pPr>
      <w:rPr>
        <w:rFonts w:cs="Times New Roman"/>
      </w:rPr>
    </w:lvl>
    <w:lvl w:ilvl="5">
      <w:start w:val="1"/>
      <w:numFmt w:val="decimal"/>
      <w:pStyle w:val="Heading6"/>
      <w:lvlText w:val="%1.%2.%3.%4.%5.%6."/>
      <w:lvlJc w:val="left"/>
      <w:pPr>
        <w:tabs>
          <w:tab w:val="num" w:pos="0"/>
        </w:tabs>
        <w:ind w:left="0" w:hanging="0"/>
      </w:pPr>
      <w:rPr>
        <w:rFonts w:cs="Times New Roman"/>
      </w:rPr>
    </w:lvl>
    <w:lvl w:ilvl="6">
      <w:start w:val="1"/>
      <w:numFmt w:val="decimal"/>
      <w:pStyle w:val="Heading7"/>
      <w:lvlText w:val="%1.%2.%3.%4.%5.%6.%7."/>
      <w:lvlJc w:val="left"/>
      <w:pPr>
        <w:tabs>
          <w:tab w:val="num" w:pos="0"/>
        </w:tabs>
        <w:ind w:left="0" w:hanging="0"/>
      </w:pPr>
      <w:rPr>
        <w:rFonts w:cs="Times New Roman"/>
      </w:rPr>
    </w:lvl>
    <w:lvl w:ilvl="7">
      <w:start w:val="1"/>
      <w:numFmt w:val="decimal"/>
      <w:pStyle w:val="Heading8"/>
      <w:lvlText w:val="%1.%2.%3.%4.%5.%6.%7.%8."/>
      <w:lvlJc w:val="left"/>
      <w:pPr>
        <w:tabs>
          <w:tab w:val="num" w:pos="0"/>
        </w:tabs>
        <w:ind w:left="0" w:hanging="0"/>
      </w:pPr>
      <w:rPr>
        <w:rFonts w:cs="Times New Roman"/>
      </w:rPr>
    </w:lvl>
    <w:lvl w:ilvl="8">
      <w:start w:val="1"/>
      <w:numFmt w:val="decimal"/>
      <w:pStyle w:val="Heading9"/>
      <w:lvlText w:val="%1.%2.%3.%4.%5.%6.%7.%8.%9."/>
      <w:lvlJc w:val="left"/>
      <w:pPr>
        <w:tabs>
          <w:tab w:val="num" w:pos="0"/>
        </w:tabs>
        <w:ind w:left="0" w:hanging="0"/>
      </w:pPr>
      <w:rPr>
        <w:rFonts w:cs="Times New Roman"/>
      </w:rPr>
    </w:lvl>
  </w:abstractNum>
  <w:abstractNum w:abstractNumId="2">
    <w:lvl w:ilvl="0">
      <w:start w:val="1"/>
      <w:numFmt w:val="decimal"/>
      <w:lvlText w:val="%1."/>
      <w:lvlJc w:val="left"/>
      <w:pPr>
        <w:tabs>
          <w:tab w:val="num" w:pos="0"/>
        </w:tabs>
        <w:ind w:left="0" w:hanging="0"/>
      </w:pPr>
      <w:rPr>
        <w:rFonts w:cs="Times New Roman"/>
      </w:rPr>
    </w:lvl>
    <w:lvl w:ilvl="1">
      <w:start w:val="1"/>
      <w:numFmt w:val="decimal"/>
      <w:lvlText w:val="%1.%2."/>
      <w:lvlJc w:val="left"/>
      <w:pPr>
        <w:tabs>
          <w:tab w:val="num" w:pos="0"/>
        </w:tabs>
        <w:ind w:left="0" w:hanging="0"/>
      </w:pPr>
      <w:rPr>
        <w:rFonts w:cs="Times New Roman"/>
        <w:i w:val="false"/>
        <w:color w:val="auto"/>
      </w:rPr>
    </w:lvl>
    <w:lvl w:ilvl="2">
      <w:start w:val="1"/>
      <w:numFmt w:val="decimal"/>
      <w:lvlText w:val="%1.%2.%3."/>
      <w:lvlJc w:val="left"/>
      <w:pPr>
        <w:tabs>
          <w:tab w:val="num" w:pos="0"/>
        </w:tabs>
        <w:ind w:left="0" w:hanging="0"/>
      </w:pPr>
      <w:rPr>
        <w:rFonts w:cs="Times New Roman"/>
        <w:i w:val="false"/>
      </w:rPr>
    </w:lvl>
    <w:lvl w:ilvl="3">
      <w:start w:val="1"/>
      <w:numFmt w:val="decimal"/>
      <w:lvlText w:val="%1.%2.%3.%4."/>
      <w:lvlJc w:val="left"/>
      <w:pPr>
        <w:tabs>
          <w:tab w:val="num" w:pos="0"/>
        </w:tabs>
        <w:ind w:left="0" w:hanging="0"/>
      </w:pPr>
      <w:rPr>
        <w:rFonts w:cs="Times New Roman"/>
      </w:rPr>
    </w:lvl>
    <w:lvl w:ilvl="4">
      <w:start w:val="1"/>
      <w:numFmt w:val="decimal"/>
      <w:lvlText w:val="%1.%2.%3.%4.%5."/>
      <w:lvlJc w:val="left"/>
      <w:pPr>
        <w:tabs>
          <w:tab w:val="num" w:pos="0"/>
        </w:tabs>
        <w:ind w:left="0" w:hanging="0"/>
      </w:pPr>
      <w:rPr>
        <w:rFonts w:cs="Times New Roman"/>
      </w:rPr>
    </w:lvl>
    <w:lvl w:ilvl="5">
      <w:start w:val="1"/>
      <w:numFmt w:val="decimal"/>
      <w:lvlText w:val="%1.%2.%3.%4.%5.%6."/>
      <w:lvlJc w:val="left"/>
      <w:pPr>
        <w:tabs>
          <w:tab w:val="num" w:pos="0"/>
        </w:tabs>
        <w:ind w:left="0" w:hanging="0"/>
      </w:pPr>
      <w:rPr>
        <w:rFonts w:cs="Times New Roman"/>
      </w:rPr>
    </w:lvl>
    <w:lvl w:ilvl="6">
      <w:start w:val="1"/>
      <w:numFmt w:val="decimal"/>
      <w:lvlText w:val="%1.%2.%3.%4.%5.%6.%7."/>
      <w:lvlJc w:val="left"/>
      <w:pPr>
        <w:tabs>
          <w:tab w:val="num" w:pos="0"/>
        </w:tabs>
        <w:ind w:left="0" w:hanging="0"/>
      </w:pPr>
      <w:rPr>
        <w:rFonts w:cs="Times New Roman"/>
      </w:rPr>
    </w:lvl>
    <w:lvl w:ilvl="7">
      <w:start w:val="1"/>
      <w:numFmt w:val="decimal"/>
      <w:lvlText w:val="%1.%2.%3.%4.%5.%6.%7.%8."/>
      <w:lvlJc w:val="left"/>
      <w:pPr>
        <w:tabs>
          <w:tab w:val="num" w:pos="0"/>
        </w:tabs>
        <w:ind w:left="0" w:hanging="0"/>
      </w:pPr>
      <w:rPr>
        <w:rFonts w:cs="Times New Roman"/>
      </w:rPr>
    </w:lvl>
    <w:lvl w:ilvl="8">
      <w:start w:val="1"/>
      <w:numFmt w:val="decimal"/>
      <w:lvlText w:val="%1.%2.%3.%4.%5.%6.%7.%8.%9."/>
      <w:lvlJc w:val="left"/>
      <w:pPr>
        <w:tabs>
          <w:tab w:val="num" w:pos="0"/>
        </w:tabs>
        <w:ind w:left="0" w:hanging="0"/>
      </w:pPr>
      <w:rPr>
        <w:rFonts w:cs="Times New Roman"/>
      </w:rPr>
    </w:lvl>
  </w:abstractNum>
  <w:num w:numId="1">
    <w:abstractNumId w:val="1"/>
  </w:num>
  <w:num w:numId="2">
    <w:abstractNumId w:val="2"/>
  </w:num>
</w:numbering>
</file>

<file path=word/settings.xml><?xml version="1.0" encoding="utf-8"?>
<w:settings xmlns:w="http://schemas.openxmlformats.org/wordprocessingml/2006/main">
  <w:zoom w:percent="100"/>
  <w:defaultTabStop w:val="709"/>
  <w:autoHyphenation w:val="true"/>
  <w:hyphenationZone w:val="0"/>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sz w:val="22"/>
        <w:szCs w:val="22"/>
        <w:lang w:val="ru-RU" w:eastAsia="ru-RU" w:bidi="ar-SA"/>
      </w:rPr>
    </w:rPrDefault>
    <w:pPrDefault>
      <w:pPr>
        <w:suppressAutoHyphens w:val="true"/>
      </w:pPr>
    </w:pPrDefault>
  </w:docDefaults>
  <w:latentStyles w:defLockedState="0" w:defUIPriority="99" w:defSemiHidden="1" w:defUnhideWhenUsed="0" w:defQFormat="0" w:count="267">
    <w:lsdException w:name="Normal" w:locked="1" w:uiPriority="0" w:semiHidden="0" w:qFormat="1"/>
    <w:lsdException w:name="heading 1" w:locked="1" w:semiHidden="0" w:qFormat="1"/>
    <w:lsdException w:name="heading 2" w:locked="1" w:semiHidden="0" w:qFormat="1"/>
    <w:lsdException w:name="heading 3" w:locked="1" w:semiHidden="0" w:qFormat="1"/>
    <w:lsdException w:name="heading 4" w:locked="1" w:semiHidden="0" w:qFormat="1"/>
    <w:lsdException w:name="heading 5" w:locked="1" w:semiHidden="0" w:qFormat="1"/>
    <w:lsdException w:name="heading 6" w:locked="1" w:semiHidden="0" w:qFormat="1"/>
    <w:lsdException w:name="heading 7" w:locked="1" w:semiHidden="0" w:qFormat="1"/>
    <w:lsdException w:name="heading 8" w:locked="1" w:semiHidden="0" w:qFormat="1"/>
    <w:lsdException w:name="heading 9" w:locked="1" w:semiHidden="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uiPriority="0" w:semiHidden="0"/>
    <w:lsdException w:name="toc 2" w:locked="1" w:uiPriority="0" w:semiHidden="0"/>
    <w:lsdException w:name="toc 3" w:locked="1" w:uiPriority="0" w:semiHidden="0"/>
    <w:lsdException w:name="toc 4" w:locked="1" w:uiPriority="0" w:semiHidden="0"/>
    <w:lsdException w:name="toc 5" w:locked="1" w:uiPriority="0" w:semiHidden="0"/>
    <w:lsdException w:name="toc 6" w:locked="1" w:uiPriority="0" w:semiHidden="0"/>
    <w:lsdException w:name="toc 7" w:locked="1" w:uiPriority="0" w:semiHidden="0"/>
    <w:lsdException w:name="toc 8" w:locked="1" w:uiPriority="0" w:semiHidden="0"/>
    <w:lsdException w:name="toc 9" w:locked="1" w:uiPriority="0" w:semiHidden="0"/>
    <w:lsdException w:name="Normal Indent" w:unhideWhenUsed="1"/>
    <w:lsdException w:name="footnote text" w:unhideWhenUsed="1" w:qFormat="1"/>
    <w:lsdException w:name="annotation text" w:unhideWhenUsed="1"/>
    <w:lsdException w:name="header" w:unhideWhenUsed="1"/>
    <w:lsdException w:name="footer" w:unhideWhenUsed="1"/>
    <w:lsdException w:name="index heading" w:unhideWhenUsed="1"/>
    <w:lsdException w:name="caption" w:locked="1" w:uiPriority="0"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uiPriority="0" w:semiHidden="0" w:qFormat="1"/>
    <w:lsdException w:name="Closing" w:unhideWhenUsed="1"/>
    <w:lsdException w:name="Signature" w:unhideWhenUsed="1"/>
    <w:lsdException w:name="Default Paragraph Font" w:locked="1" w:uiPriority="0" w:semiHidden="0"/>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uiPriority="0" w:semiHidden="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unhideWhenUsed="1"/>
    <w:lsdException w:name="FollowedHyperlink" w:unhideWhenUsed="1"/>
    <w:lsdException w:name="Strong" w:locked="1" w:uiPriority="0" w:semiHidden="0" w:qFormat="1"/>
    <w:lsdException w:name="Emphasis" w:locked="1" w:uiPriority="0" w:semiHidden="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locked="1" w:uiPriority="0" w:semiHidden="0"/>
    <w:lsdException w:name="Table Theme" w:unhideWhenUsed="1"/>
    <w:lsdException w:name="No Spacing" w:uiPriority="1" w:semiHidden="0" w:qFormat="1"/>
    <w:lsdException w:name="Light Shading" w:uiPriority="60" w:semiHidden="0"/>
    <w:lsdException w:name="Light List" w:uiPriority="61" w:semiHidden="0"/>
    <w:lsdException w:name="Light Grid" w:uiPriority="62" w:semiHidden="0"/>
    <w:lsdException w:name="Medium Shading 1" w:uiPriority="63" w:semiHidden="0"/>
    <w:lsdException w:name="Medium Shading 2" w:uiPriority="64" w:semiHidden="0"/>
    <w:lsdException w:name="Medium List 1" w:uiPriority="65" w:semiHidden="0"/>
    <w:lsdException w:name="Medium List 2" w:uiPriority="66" w:semiHidden="0"/>
    <w:lsdException w:name="Medium Grid 1" w:uiPriority="67" w:semiHidden="0"/>
    <w:lsdException w:name="Medium Grid 2" w:uiPriority="68" w:semiHidden="0"/>
    <w:lsdException w:name="Medium Grid 3" w:uiPriority="69" w:semiHidden="0"/>
    <w:lsdException w:name="Dark List" w:uiPriority="70" w:semiHidden="0"/>
    <w:lsdException w:name="Colorful Shading" w:uiPriority="71" w:semiHidden="0"/>
    <w:lsdException w:name="Colorful List" w:uiPriority="72" w:semiHidden="0"/>
    <w:lsdException w:name="Colorful Grid" w:uiPriority="73" w:semiHidden="0"/>
    <w:lsdException w:name="Light Shading Accent 1" w:uiPriority="60" w:semiHidden="0"/>
    <w:lsdException w:name="Light List Accent 1" w:uiPriority="61" w:semiHidden="0"/>
    <w:lsdException w:name="Light Grid Accent 1" w:uiPriority="62" w:semiHidden="0"/>
    <w:lsdException w:name="Medium Shading 1 Accent 1" w:uiPriority="63" w:semiHidden="0"/>
    <w:lsdException w:name="Medium Shading 2 Accent 1" w:uiPriority="64" w:semiHidden="0"/>
    <w:lsdException w:name="Medium List 1 Accent 1" w:uiPriority="65" w:semiHidden="0"/>
    <w:lsdException w:name="List Paragraph" w:uiPriority="34" w:semiHidden="0" w:qFormat="1"/>
    <w:lsdException w:name="Quote" w:uiPriority="29" w:semiHidden="0" w:qFormat="1"/>
    <w:lsdException w:name="Intense Quote" w:uiPriority="30" w:semiHidden="0" w:qFormat="1"/>
    <w:lsdException w:name="Medium List 2 Accent 1" w:uiPriority="66" w:semiHidden="0"/>
    <w:lsdException w:name="Medium Grid 1 Accent 1" w:uiPriority="67" w:semiHidden="0"/>
    <w:lsdException w:name="Medium Grid 2 Accent 1" w:uiPriority="68" w:semiHidden="0"/>
    <w:lsdException w:name="Medium Grid 3 Accent 1" w:uiPriority="69" w:semiHidden="0"/>
    <w:lsdException w:name="Dark List Accent 1" w:uiPriority="70" w:semiHidden="0"/>
    <w:lsdException w:name="Colorful Shading Accent 1" w:uiPriority="71" w:semiHidden="0"/>
    <w:lsdException w:name="Colorful List Accent 1" w:uiPriority="72" w:semiHidden="0"/>
    <w:lsdException w:name="Colorful Grid Accent 1" w:uiPriority="73" w:semiHidden="0"/>
    <w:lsdException w:name="Light Shading Accent 2" w:uiPriority="60" w:semiHidden="0"/>
    <w:lsdException w:name="Light List Accent 2" w:uiPriority="61" w:semiHidden="0"/>
    <w:lsdException w:name="Light Grid Accent 2" w:uiPriority="62" w:semiHidden="0"/>
    <w:lsdException w:name="Medium Shading 1 Accent 2" w:uiPriority="63" w:semiHidden="0"/>
    <w:lsdException w:name="Medium Shading 2 Accent 2" w:uiPriority="64" w:semiHidden="0"/>
    <w:lsdException w:name="Medium List 1 Accent 2" w:uiPriority="65" w:semiHidden="0"/>
    <w:lsdException w:name="Medium List 2 Accent 2" w:uiPriority="66" w:semiHidden="0"/>
    <w:lsdException w:name="Medium Grid 1 Accent 2" w:uiPriority="67" w:semiHidden="0"/>
    <w:lsdException w:name="Medium Grid 2 Accent 2" w:uiPriority="68" w:semiHidden="0"/>
    <w:lsdException w:name="Medium Grid 3 Accent 2" w:uiPriority="69" w:semiHidden="0"/>
    <w:lsdException w:name="Dark List Accent 2" w:uiPriority="70" w:semiHidden="0"/>
    <w:lsdException w:name="Colorful Shading Accent 2" w:uiPriority="71" w:semiHidden="0"/>
    <w:lsdException w:name="Colorful List Accent 2" w:uiPriority="72" w:semiHidden="0"/>
    <w:lsdException w:name="Colorful Grid Accent 2" w:uiPriority="73" w:semiHidden="0"/>
    <w:lsdException w:name="Light Shading Accent 3" w:uiPriority="60" w:semiHidden="0"/>
    <w:lsdException w:name="Light List Accent 3" w:uiPriority="61" w:semiHidden="0"/>
    <w:lsdException w:name="Light Grid Accent 3" w:uiPriority="62" w:semiHidden="0"/>
    <w:lsdException w:name="Medium Shading 1 Accent 3" w:uiPriority="63" w:semiHidden="0"/>
    <w:lsdException w:name="Medium Shading 2 Accent 3" w:uiPriority="64" w:semiHidden="0"/>
    <w:lsdException w:name="Medium List 1 Accent 3" w:uiPriority="65" w:semiHidden="0"/>
    <w:lsdException w:name="Medium List 2 Accent 3" w:uiPriority="66" w:semiHidden="0"/>
    <w:lsdException w:name="Medium Grid 1 Accent 3" w:uiPriority="67" w:semiHidden="0"/>
    <w:lsdException w:name="Medium Grid 2 Accent 3" w:uiPriority="68" w:semiHidden="0"/>
    <w:lsdException w:name="Medium Grid 3 Accent 3" w:uiPriority="69" w:semiHidden="0"/>
    <w:lsdException w:name="Dark List Accent 3" w:uiPriority="70" w:semiHidden="0"/>
    <w:lsdException w:name="Colorful Shading Accent 3" w:uiPriority="71" w:semiHidden="0"/>
    <w:lsdException w:name="Colorful List Accent 3" w:uiPriority="72" w:semiHidden="0"/>
    <w:lsdException w:name="Colorful Grid Accent 3" w:uiPriority="73" w:semiHidden="0"/>
    <w:lsdException w:name="Light Shading Accent 4" w:uiPriority="60" w:semiHidden="0"/>
    <w:lsdException w:name="Light List Accent 4" w:uiPriority="61" w:semiHidden="0"/>
    <w:lsdException w:name="Light Grid Accent 4" w:uiPriority="62" w:semiHidden="0"/>
    <w:lsdException w:name="Medium Shading 1 Accent 4" w:uiPriority="63" w:semiHidden="0"/>
    <w:lsdException w:name="Medium Shading 2 Accent 4" w:uiPriority="64" w:semiHidden="0"/>
    <w:lsdException w:name="Medium List 1 Accent 4" w:uiPriority="65" w:semiHidden="0"/>
    <w:lsdException w:name="Medium List 2 Accent 4" w:uiPriority="66" w:semiHidden="0"/>
    <w:lsdException w:name="Medium Grid 1 Accent 4" w:uiPriority="67" w:semiHidden="0"/>
    <w:lsdException w:name="Medium Grid 2 Accent 4" w:uiPriority="68" w:semiHidden="0"/>
    <w:lsdException w:name="Medium Grid 3 Accent 4" w:uiPriority="69" w:semiHidden="0"/>
    <w:lsdException w:name="Dark List Accent 4" w:uiPriority="70" w:semiHidden="0"/>
    <w:lsdException w:name="Colorful Shading Accent 4" w:uiPriority="71" w:semiHidden="0"/>
    <w:lsdException w:name="Colorful List Accent 4" w:uiPriority="72" w:semiHidden="0"/>
    <w:lsdException w:name="Colorful Grid Accent 4" w:uiPriority="73" w:semiHidden="0"/>
    <w:lsdException w:name="Light Shading Accent 5" w:uiPriority="60" w:semiHidden="0"/>
    <w:lsdException w:name="Light List Accent 5" w:uiPriority="61" w:semiHidden="0"/>
    <w:lsdException w:name="Light Grid Accent 5" w:uiPriority="62" w:semiHidden="0"/>
    <w:lsdException w:name="Medium Shading 1 Accent 5" w:uiPriority="63" w:semiHidden="0"/>
    <w:lsdException w:name="Medium Shading 2 Accent 5" w:uiPriority="64" w:semiHidden="0"/>
    <w:lsdException w:name="Medium List 1 Accent 5" w:uiPriority="65" w:semiHidden="0"/>
    <w:lsdException w:name="Medium List 2 Accent 5" w:uiPriority="66" w:semiHidden="0"/>
    <w:lsdException w:name="Medium Grid 1 Accent 5" w:uiPriority="67" w:semiHidden="0"/>
    <w:lsdException w:name="Medium Grid 2 Accent 5" w:uiPriority="68" w:semiHidden="0"/>
    <w:lsdException w:name="Medium Grid 3 Accent 5" w:uiPriority="69" w:semiHidden="0"/>
    <w:lsdException w:name="Dark List Accent 5" w:uiPriority="70" w:semiHidden="0"/>
    <w:lsdException w:name="Colorful Shading Accent 5" w:uiPriority="71" w:semiHidden="0"/>
    <w:lsdException w:name="Colorful List Accent 5" w:uiPriority="72" w:semiHidden="0"/>
    <w:lsdException w:name="Colorful Grid Accent 5" w:uiPriority="73" w:semiHidden="0"/>
    <w:lsdException w:name="Light Shading Accent 6" w:uiPriority="60" w:semiHidden="0"/>
    <w:lsdException w:name="Light List Accent 6" w:uiPriority="61" w:semiHidden="0"/>
    <w:lsdException w:name="Light Grid Accent 6" w:uiPriority="62" w:semiHidden="0"/>
    <w:lsdException w:name="Medium Shading 1 Accent 6" w:uiPriority="63" w:semiHidden="0"/>
    <w:lsdException w:name="Medium Shading 2 Accent 6" w:uiPriority="64" w:semiHidden="0"/>
    <w:lsdException w:name="Medium List 1 Accent 6" w:uiPriority="65" w:semiHidden="0"/>
    <w:lsdException w:name="Medium List 2 Accent 6" w:uiPriority="66" w:semiHidden="0"/>
    <w:lsdException w:name="Medium Grid 1 Accent 6" w:uiPriority="67" w:semiHidden="0"/>
    <w:lsdException w:name="Medium Grid 2 Accent 6" w:uiPriority="68" w:semiHidden="0"/>
    <w:lsdException w:name="Medium Grid 3 Accent 6" w:uiPriority="69" w:semiHidden="0"/>
    <w:lsdException w:name="Dark List Accent 6" w:uiPriority="70" w:semiHidden="0"/>
    <w:lsdException w:name="Colorful Shading Accent 6" w:uiPriority="71" w:semiHidden="0"/>
    <w:lsdException w:name="Colorful List Accent 6" w:uiPriority="72" w:semiHidden="0"/>
    <w:lsdException w:name="Colorful Grid Accent 6" w:uiPriority="73" w:semiHidden="0"/>
    <w:lsdException w:name="Subtle Emphasis" w:uiPriority="19" w:semiHidden="0" w:qFormat="1"/>
    <w:lsdException w:name="Intense Emphasis" w:uiPriority="21" w:semiHidden="0" w:qFormat="1"/>
    <w:lsdException w:name="Subtle Reference" w:uiPriority="31" w:semiHidden="0" w:qFormat="1"/>
    <w:lsdException w:name="Intense Reference" w:uiPriority="32" w:semiHidden="0" w:qFormat="1"/>
    <w:lsdException w:name="Book Title" w:uiPriority="33" w:semiHidden="0" w:qFormat="1"/>
    <w:lsdException w:name="Bibliography" w:uiPriority="37" w:unhideWhenUsed="1"/>
    <w:lsdException w:name="TOC Heading" w:uiPriority="39" w:unhideWhenUsed="1" w:qFormat="1"/>
  </w:latentStyles>
  <w:style w:type="paragraph" w:styleId="Normal" w:default="1">
    <w:name w:val="Normal"/>
    <w:qFormat/>
    <w:rsid w:val="00b017ab"/>
    <w:pPr>
      <w:widowControl/>
      <w:suppressAutoHyphens w:val="true"/>
      <w:bidi w:val="0"/>
      <w:spacing w:lineRule="auto" w:line="276" w:before="120" w:after="120"/>
      <w:ind w:firstLine="708"/>
      <w:jc w:val="both"/>
    </w:pPr>
    <w:rPr>
      <w:rFonts w:ascii="Times New Roman" w:hAnsi="Times New Roman" w:eastAsia="Times New Roman" w:cs="Times New Roman"/>
      <w:color w:val="auto"/>
      <w:kern w:val="0"/>
      <w:sz w:val="22"/>
      <w:szCs w:val="22"/>
      <w:lang w:val="ru-RU" w:eastAsia="ru-RU" w:bidi="ar-SA"/>
    </w:rPr>
  </w:style>
  <w:style w:type="paragraph" w:styleId="Heading1">
    <w:name w:val="heading 1"/>
    <w:basedOn w:val="Normal"/>
    <w:next w:val="Normal"/>
    <w:link w:val="1"/>
    <w:uiPriority w:val="99"/>
    <w:qFormat/>
    <w:rsid w:val="00c358b6"/>
    <w:pPr>
      <w:keepNext w:val="true"/>
      <w:keepLines/>
      <w:numPr>
        <w:ilvl w:val="0"/>
        <w:numId w:val="1"/>
      </w:numPr>
      <w:spacing w:before="240" w:after="120"/>
      <w:ind w:hanging="0"/>
      <w:jc w:val="center"/>
      <w:outlineLvl w:val="0"/>
    </w:pPr>
    <w:rPr>
      <w:b/>
      <w:bCs/>
      <w:sz w:val="24"/>
      <w:szCs w:val="28"/>
    </w:rPr>
  </w:style>
  <w:style w:type="paragraph" w:styleId="Heading2">
    <w:name w:val="heading 2"/>
    <w:basedOn w:val="Normal"/>
    <w:next w:val="Normal"/>
    <w:link w:val="2"/>
    <w:uiPriority w:val="99"/>
    <w:qFormat/>
    <w:rsid w:val="00c358b6"/>
    <w:pPr>
      <w:numPr>
        <w:ilvl w:val="1"/>
        <w:numId w:val="1"/>
      </w:numPr>
      <w:ind w:hanging="0"/>
      <w:outlineLvl w:val="1"/>
    </w:pPr>
    <w:rPr>
      <w:bCs/>
      <w:szCs w:val="26"/>
    </w:rPr>
  </w:style>
  <w:style w:type="paragraph" w:styleId="Heading3">
    <w:name w:val="heading 3"/>
    <w:basedOn w:val="Normal"/>
    <w:next w:val="Normal"/>
    <w:link w:val="3"/>
    <w:uiPriority w:val="99"/>
    <w:qFormat/>
    <w:rsid w:val="00c358b6"/>
    <w:pPr>
      <w:numPr>
        <w:ilvl w:val="2"/>
        <w:numId w:val="1"/>
      </w:numPr>
      <w:ind w:hanging="0"/>
      <w:outlineLvl w:val="2"/>
    </w:pPr>
    <w:rPr>
      <w:bCs/>
    </w:rPr>
  </w:style>
  <w:style w:type="paragraph" w:styleId="Heading4">
    <w:name w:val="heading 4"/>
    <w:basedOn w:val="Normal"/>
    <w:next w:val="Normal"/>
    <w:link w:val="4"/>
    <w:uiPriority w:val="99"/>
    <w:qFormat/>
    <w:rsid w:val="00c358b6"/>
    <w:pPr>
      <w:numPr>
        <w:ilvl w:val="3"/>
        <w:numId w:val="1"/>
      </w:numPr>
      <w:ind w:hanging="0"/>
      <w:outlineLvl w:val="3"/>
    </w:pPr>
    <w:rPr>
      <w:bCs/>
      <w:iCs/>
    </w:rPr>
  </w:style>
  <w:style w:type="paragraph" w:styleId="Heading5">
    <w:name w:val="heading 5"/>
    <w:basedOn w:val="Normal"/>
    <w:next w:val="Normal"/>
    <w:link w:val="5"/>
    <w:uiPriority w:val="99"/>
    <w:qFormat/>
    <w:rsid w:val="00c358b6"/>
    <w:pPr>
      <w:keepNext w:val="true"/>
      <w:keepLines/>
      <w:numPr>
        <w:ilvl w:val="4"/>
        <w:numId w:val="1"/>
      </w:numPr>
      <w:spacing w:before="200" w:after="0"/>
      <w:ind w:hanging="0"/>
      <w:outlineLvl w:val="4"/>
    </w:pPr>
    <w:rPr/>
  </w:style>
  <w:style w:type="paragraph" w:styleId="Heading6">
    <w:name w:val="heading 6"/>
    <w:basedOn w:val="Normal"/>
    <w:next w:val="Normal"/>
    <w:link w:val="6"/>
    <w:uiPriority w:val="99"/>
    <w:qFormat/>
    <w:rsid w:val="00c358b6"/>
    <w:pPr>
      <w:keepNext w:val="true"/>
      <w:keepLines/>
      <w:numPr>
        <w:ilvl w:val="5"/>
        <w:numId w:val="1"/>
      </w:numPr>
      <w:spacing w:before="200" w:after="0"/>
      <w:ind w:hanging="0"/>
      <w:outlineLvl w:val="5"/>
    </w:pPr>
    <w:rPr>
      <w:i/>
      <w:iCs/>
      <w:color w:val="243F60"/>
    </w:rPr>
  </w:style>
  <w:style w:type="paragraph" w:styleId="Heading7">
    <w:name w:val="heading 7"/>
    <w:basedOn w:val="Normal"/>
    <w:next w:val="Normal"/>
    <w:link w:val="7"/>
    <w:uiPriority w:val="99"/>
    <w:qFormat/>
    <w:rsid w:val="00c358b6"/>
    <w:pPr>
      <w:keepNext w:val="true"/>
      <w:keepLines/>
      <w:numPr>
        <w:ilvl w:val="6"/>
        <w:numId w:val="1"/>
      </w:numPr>
      <w:spacing w:before="200" w:after="0"/>
      <w:ind w:hanging="0"/>
      <w:outlineLvl w:val="6"/>
    </w:pPr>
    <w:rPr>
      <w:i/>
      <w:iCs/>
      <w:color w:val="404040"/>
    </w:rPr>
  </w:style>
  <w:style w:type="paragraph" w:styleId="Heading8">
    <w:name w:val="heading 8"/>
    <w:basedOn w:val="Normal"/>
    <w:next w:val="Normal"/>
    <w:link w:val="8"/>
    <w:uiPriority w:val="99"/>
    <w:qFormat/>
    <w:rsid w:val="00c358b6"/>
    <w:pPr>
      <w:keepNext w:val="true"/>
      <w:keepLines/>
      <w:numPr>
        <w:ilvl w:val="7"/>
        <w:numId w:val="1"/>
      </w:numPr>
      <w:spacing w:before="200" w:after="0"/>
      <w:ind w:hanging="0"/>
      <w:outlineLvl w:val="7"/>
    </w:pPr>
    <w:rPr>
      <w:color w:val="4F81BD"/>
      <w:szCs w:val="20"/>
    </w:rPr>
  </w:style>
  <w:style w:type="paragraph" w:styleId="Heading9">
    <w:name w:val="heading 9"/>
    <w:basedOn w:val="Normal"/>
    <w:next w:val="Normal"/>
    <w:link w:val="9"/>
    <w:uiPriority w:val="99"/>
    <w:qFormat/>
    <w:rsid w:val="00c358b6"/>
    <w:pPr>
      <w:keepNext w:val="true"/>
      <w:keepLines/>
      <w:numPr>
        <w:ilvl w:val="8"/>
        <w:numId w:val="1"/>
      </w:numPr>
      <w:spacing w:before="200" w:after="0"/>
      <w:ind w:hanging="0"/>
      <w:outlineLvl w:val="8"/>
    </w:pPr>
    <w:rPr>
      <w:i/>
      <w:iCs/>
      <w:color w:val="404040"/>
      <w:szCs w:val="20"/>
    </w:rPr>
  </w:style>
  <w:style w:type="character" w:styleId="DefaultParagraphFont" w:default="1">
    <w:name w:val="Default Paragraph Font"/>
    <w:uiPriority w:val="1"/>
    <w:semiHidden/>
    <w:unhideWhenUsed/>
    <w:qFormat/>
    <w:rPr/>
  </w:style>
  <w:style w:type="character" w:styleId="1" w:customStyle="1">
    <w:name w:val="Заголовок 1 Знак"/>
    <w:basedOn w:val="DefaultParagraphFont"/>
    <w:uiPriority w:val="99"/>
    <w:qFormat/>
    <w:locked/>
    <w:rsid w:val="00c358b6"/>
    <w:rPr>
      <w:rFonts w:ascii="Times New Roman" w:hAnsi="Times New Roman" w:eastAsia="Times New Roman"/>
      <w:b/>
      <w:bCs/>
      <w:sz w:val="24"/>
      <w:szCs w:val="28"/>
    </w:rPr>
  </w:style>
  <w:style w:type="character" w:styleId="2" w:customStyle="1">
    <w:name w:val="Заголовок 2 Знак"/>
    <w:basedOn w:val="DefaultParagraphFont"/>
    <w:uiPriority w:val="99"/>
    <w:qFormat/>
    <w:locked/>
    <w:rsid w:val="00c358b6"/>
    <w:rPr>
      <w:rFonts w:ascii="Times New Roman" w:hAnsi="Times New Roman" w:cs="Times New Roman"/>
      <w:bCs/>
      <w:sz w:val="26"/>
      <w:szCs w:val="26"/>
      <w:lang w:eastAsia="ru-RU"/>
    </w:rPr>
  </w:style>
  <w:style w:type="character" w:styleId="3" w:customStyle="1">
    <w:name w:val="Заголовок 3 Знак"/>
    <w:basedOn w:val="DefaultParagraphFont"/>
    <w:uiPriority w:val="99"/>
    <w:qFormat/>
    <w:locked/>
    <w:rsid w:val="00c358b6"/>
    <w:rPr>
      <w:rFonts w:ascii="Times New Roman" w:hAnsi="Times New Roman" w:cs="Times New Roman"/>
      <w:bCs/>
      <w:lang w:eastAsia="ru-RU"/>
    </w:rPr>
  </w:style>
  <w:style w:type="character" w:styleId="4" w:customStyle="1">
    <w:name w:val="Заголовок 4 Знак"/>
    <w:basedOn w:val="DefaultParagraphFont"/>
    <w:uiPriority w:val="99"/>
    <w:qFormat/>
    <w:locked/>
    <w:rsid w:val="00c358b6"/>
    <w:rPr>
      <w:rFonts w:ascii="Times New Roman" w:hAnsi="Times New Roman" w:cs="Times New Roman"/>
      <w:bCs/>
      <w:iCs/>
      <w:lang w:eastAsia="ru-RU"/>
    </w:rPr>
  </w:style>
  <w:style w:type="character" w:styleId="5" w:customStyle="1">
    <w:name w:val="Заголовок 5 Знак"/>
    <w:basedOn w:val="DefaultParagraphFont"/>
    <w:uiPriority w:val="99"/>
    <w:qFormat/>
    <w:locked/>
    <w:rsid w:val="00c358b6"/>
    <w:rPr>
      <w:rFonts w:ascii="Times New Roman" w:hAnsi="Times New Roman" w:cs="Times New Roman"/>
      <w:lang w:eastAsia="ru-RU"/>
    </w:rPr>
  </w:style>
  <w:style w:type="character" w:styleId="6" w:customStyle="1">
    <w:name w:val="Заголовок 6 Знак"/>
    <w:basedOn w:val="DefaultParagraphFont"/>
    <w:uiPriority w:val="99"/>
    <w:qFormat/>
    <w:locked/>
    <w:rsid w:val="00c358b6"/>
    <w:rPr>
      <w:rFonts w:ascii="Times New Roman" w:hAnsi="Times New Roman" w:cs="Times New Roman"/>
      <w:i/>
      <w:iCs/>
      <w:color w:val="243F60"/>
      <w:lang w:eastAsia="ru-RU"/>
    </w:rPr>
  </w:style>
  <w:style w:type="character" w:styleId="7" w:customStyle="1">
    <w:name w:val="Заголовок 7 Знак"/>
    <w:basedOn w:val="DefaultParagraphFont"/>
    <w:uiPriority w:val="99"/>
    <w:qFormat/>
    <w:locked/>
    <w:rsid w:val="00c358b6"/>
    <w:rPr>
      <w:rFonts w:ascii="Times New Roman" w:hAnsi="Times New Roman" w:cs="Times New Roman"/>
      <w:i/>
      <w:iCs/>
      <w:color w:val="404040"/>
      <w:lang w:eastAsia="ru-RU"/>
    </w:rPr>
  </w:style>
  <w:style w:type="character" w:styleId="8" w:customStyle="1">
    <w:name w:val="Заголовок 8 Знак"/>
    <w:basedOn w:val="DefaultParagraphFont"/>
    <w:uiPriority w:val="99"/>
    <w:qFormat/>
    <w:locked/>
    <w:rsid w:val="00c358b6"/>
    <w:rPr>
      <w:rFonts w:ascii="Times New Roman" w:hAnsi="Times New Roman" w:cs="Times New Roman"/>
      <w:color w:val="4F81BD"/>
      <w:sz w:val="20"/>
      <w:szCs w:val="20"/>
      <w:lang w:eastAsia="ru-RU"/>
    </w:rPr>
  </w:style>
  <w:style w:type="character" w:styleId="9" w:customStyle="1">
    <w:name w:val="Заголовок 9 Знак"/>
    <w:basedOn w:val="DefaultParagraphFont"/>
    <w:uiPriority w:val="99"/>
    <w:qFormat/>
    <w:locked/>
    <w:rsid w:val="00c358b6"/>
    <w:rPr>
      <w:rFonts w:ascii="Times New Roman" w:hAnsi="Times New Roman" w:cs="Times New Roman"/>
      <w:i/>
      <w:iCs/>
      <w:color w:val="404040"/>
      <w:sz w:val="20"/>
      <w:szCs w:val="20"/>
      <w:lang w:eastAsia="ru-RU"/>
    </w:rPr>
  </w:style>
  <w:style w:type="character" w:styleId="Style5" w:customStyle="1">
    <w:name w:val="Название Знак"/>
    <w:basedOn w:val="DefaultParagraphFont"/>
    <w:uiPriority w:val="99"/>
    <w:qFormat/>
    <w:locked/>
    <w:rsid w:val="00c358b6"/>
    <w:rPr>
      <w:rFonts w:ascii="Times New Roman" w:hAnsi="Times New Roman" w:cs="Times New Roman"/>
      <w:b/>
      <w:spacing w:val="5"/>
      <w:kern w:val="2"/>
      <w:sz w:val="52"/>
      <w:szCs w:val="52"/>
      <w:lang w:eastAsia="ru-RU"/>
    </w:rPr>
  </w:style>
  <w:style w:type="character" w:styleId="21" w:customStyle="1">
    <w:name w:val="Цитата 2 Знак"/>
    <w:basedOn w:val="DefaultParagraphFont"/>
    <w:link w:val="Quote"/>
    <w:uiPriority w:val="99"/>
    <w:qFormat/>
    <w:locked/>
    <w:rsid w:val="00c358b6"/>
    <w:rPr>
      <w:rFonts w:ascii="Times New Roman" w:hAnsi="Times New Roman" w:cs="Times New Roman"/>
      <w:i/>
      <w:iCs/>
      <w:color w:val="8064A2"/>
      <w:lang w:eastAsia="ru-RU"/>
    </w:rPr>
  </w:style>
  <w:style w:type="character" w:styleId="Style6" w:customStyle="1">
    <w:name w:val="Нижний колонтитул Знак"/>
    <w:basedOn w:val="DefaultParagraphFont"/>
    <w:uiPriority w:val="99"/>
    <w:qFormat/>
    <w:locked/>
    <w:rsid w:val="00c358b6"/>
    <w:rPr>
      <w:rFonts w:ascii="Times New Roman" w:hAnsi="Times New Roman" w:cs="Times New Roman"/>
      <w:sz w:val="20"/>
      <w:szCs w:val="20"/>
      <w:lang w:eastAsia="ru-RU"/>
    </w:rPr>
  </w:style>
  <w:style w:type="character" w:styleId="Style7" w:customStyle="1">
    <w:name w:val="Текст выноски Знак"/>
    <w:basedOn w:val="DefaultParagraphFont"/>
    <w:link w:val="BalloonText"/>
    <w:uiPriority w:val="99"/>
    <w:semiHidden/>
    <w:qFormat/>
    <w:locked/>
    <w:rsid w:val="00c358b6"/>
    <w:rPr>
      <w:rFonts w:ascii="Tahoma" w:hAnsi="Tahoma" w:cs="Tahoma"/>
      <w:sz w:val="16"/>
      <w:szCs w:val="16"/>
      <w:lang w:eastAsia="ru-RU"/>
    </w:rPr>
  </w:style>
  <w:style w:type="character" w:styleId="Hyperlink">
    <w:name w:val="Hyperlink"/>
    <w:basedOn w:val="DefaultParagraphFont"/>
    <w:uiPriority w:val="99"/>
    <w:unhideWhenUsed/>
    <w:rsid w:val="0023648d"/>
    <w:rPr>
      <w:color w:val="0000FF"/>
      <w:u w:val="single"/>
    </w:rPr>
  </w:style>
  <w:style w:type="character" w:styleId="Style8" w:customStyle="1">
    <w:name w:val="Без интервала Знак"/>
    <w:link w:val="NoSpacing"/>
    <w:qFormat/>
    <w:locked/>
    <w:rsid w:val="00770e8f"/>
    <w:rPr>
      <w:rFonts w:cs="Calibri"/>
    </w:rPr>
  </w:style>
  <w:style w:type="character" w:styleId="apple-converted-space" w:customStyle="1">
    <w:name w:val="apple-converted-space"/>
    <w:basedOn w:val="DefaultParagraphFont"/>
    <w:qFormat/>
    <w:rsid w:val="00560f53"/>
    <w:rPr/>
  </w:style>
  <w:style w:type="character" w:styleId="Style9" w:customStyle="1">
    <w:name w:val="Текст концевой сноски Знак"/>
    <w:basedOn w:val="DefaultParagraphFont"/>
    <w:uiPriority w:val="99"/>
    <w:semiHidden/>
    <w:qFormat/>
    <w:rsid w:val="00560f53"/>
    <w:rPr>
      <w:rFonts w:ascii="Times New Roman" w:hAnsi="Times New Roman" w:eastAsia="Times New Roman"/>
      <w:sz w:val="20"/>
      <w:szCs w:val="20"/>
    </w:rPr>
  </w:style>
  <w:style w:type="character" w:styleId="Style10">
    <w:name w:val="Символ концевой сноски"/>
    <w:uiPriority w:val="99"/>
    <w:unhideWhenUsed/>
    <w:qFormat/>
    <w:rsid w:val="00560f53"/>
    <w:rPr>
      <w:vertAlign w:val="superscript"/>
    </w:rPr>
  </w:style>
  <w:style w:type="character" w:styleId="user">
    <w:name w:val="Символ концевой сноски (user)"/>
    <w:qFormat/>
    <w:rPr>
      <w:vertAlign w:val="superscript"/>
    </w:rPr>
  </w:style>
  <w:style w:type="character" w:styleId="EndnoteReference">
    <w:name w:val="endnote reference"/>
    <w:rPr>
      <w:vertAlign w:val="superscript"/>
    </w:rPr>
  </w:style>
  <w:style w:type="character" w:styleId="Style11" w:customStyle="1">
    <w:name w:val="Текст сноски Знак"/>
    <w:basedOn w:val="DefaultParagraphFont"/>
    <w:uiPriority w:val="99"/>
    <w:semiHidden/>
    <w:qFormat/>
    <w:rsid w:val="00f4015c"/>
    <w:rPr>
      <w:rFonts w:ascii="Times New Roman" w:hAnsi="Times New Roman" w:eastAsia="Times New Roman"/>
      <w:sz w:val="20"/>
      <w:szCs w:val="20"/>
    </w:rPr>
  </w:style>
  <w:style w:type="character" w:styleId="11" w:customStyle="1">
    <w:name w:val="Текст сноски Знак1"/>
    <w:basedOn w:val="DefaultParagraphFont"/>
    <w:uiPriority w:val="99"/>
    <w:qFormat/>
    <w:rsid w:val="00f4015c"/>
    <w:rPr>
      <w:rFonts w:ascii="Tahoma" w:hAnsi="Tahoma" w:eastAsia="Times New Roman"/>
      <w:sz w:val="20"/>
      <w:szCs w:val="20"/>
      <w:lang w:val="en-US" w:eastAsia="en-US"/>
    </w:rPr>
  </w:style>
  <w:style w:type="character" w:styleId="Style12">
    <w:name w:val="Символ сноски"/>
    <w:link w:val="13"/>
    <w:uiPriority w:val="99"/>
    <w:unhideWhenUsed/>
    <w:qFormat/>
    <w:rsid w:val="00f4015c"/>
    <w:rPr>
      <w:vertAlign w:val="superscript"/>
    </w:rPr>
  </w:style>
  <w:style w:type="character" w:styleId="user1">
    <w:name w:val="Символ сноски (user)"/>
    <w:qFormat/>
    <w:rPr>
      <w:vertAlign w:val="superscript"/>
    </w:rPr>
  </w:style>
  <w:style w:type="character" w:styleId="FootnoteReference">
    <w:name w:val="footnote reference"/>
    <w:rPr>
      <w:vertAlign w:val="superscript"/>
    </w:rPr>
  </w:style>
  <w:style w:type="character" w:styleId="ConsPlusNormal" w:customStyle="1">
    <w:name w:val="ConsPlusNormal Знак"/>
    <w:link w:val="ConsPlusNormal1"/>
    <w:qFormat/>
    <w:locked/>
    <w:rsid w:val="00f4015c"/>
    <w:rPr>
      <w:rFonts w:ascii="Times New Roman" w:hAnsi="Times New Roman"/>
      <w:lang w:eastAsia="en-US"/>
    </w:rPr>
  </w:style>
  <w:style w:type="character" w:styleId="CommentReference">
    <w:name w:val="annotation reference"/>
    <w:basedOn w:val="DefaultParagraphFont"/>
    <w:uiPriority w:val="99"/>
    <w:semiHidden/>
    <w:unhideWhenUsed/>
    <w:qFormat/>
    <w:rsid w:val="009600fb"/>
    <w:rPr>
      <w:sz w:val="16"/>
      <w:szCs w:val="16"/>
    </w:rPr>
  </w:style>
  <w:style w:type="character" w:styleId="Style13" w:customStyle="1">
    <w:name w:val="Текст примечания Знак"/>
    <w:basedOn w:val="DefaultParagraphFont"/>
    <w:uiPriority w:val="99"/>
    <w:semiHidden/>
    <w:qFormat/>
    <w:rsid w:val="009600fb"/>
    <w:rPr>
      <w:rFonts w:ascii="Times New Roman" w:hAnsi="Times New Roman" w:eastAsia="Times New Roman"/>
      <w:sz w:val="20"/>
      <w:szCs w:val="20"/>
    </w:rPr>
  </w:style>
  <w:style w:type="character" w:styleId="Style14" w:customStyle="1">
    <w:name w:val="Тема примечания Знак"/>
    <w:basedOn w:val="Style13"/>
    <w:link w:val="annotationsubject"/>
    <w:uiPriority w:val="99"/>
    <w:semiHidden/>
    <w:qFormat/>
    <w:rsid w:val="009600fb"/>
    <w:rPr>
      <w:rFonts w:ascii="Times New Roman" w:hAnsi="Times New Roman" w:eastAsia="Times New Roman"/>
      <w:b/>
      <w:bCs/>
      <w:sz w:val="20"/>
      <w:szCs w:val="20"/>
    </w:rPr>
  </w:style>
  <w:style w:type="character" w:styleId="Style15" w:customStyle="1">
    <w:name w:val="Верхний колонтитул Знак"/>
    <w:basedOn w:val="DefaultParagraphFont"/>
    <w:uiPriority w:val="99"/>
    <w:qFormat/>
    <w:rsid w:val="00066d73"/>
    <w:rPr>
      <w:rFonts w:ascii="Times New Roman" w:hAnsi="Times New Roman" w:eastAsia="Times New Roman"/>
    </w:rPr>
  </w:style>
  <w:style w:type="paragraph" w:styleId="Style16">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Style17">
    <w:name w:val="Указатель"/>
    <w:basedOn w:val="Normal"/>
    <w:qFormat/>
    <w:pPr>
      <w:suppressLineNumbers/>
    </w:pPr>
    <w:rPr>
      <w:rFonts w:cs="Arial"/>
    </w:rPr>
  </w:style>
  <w:style w:type="paragraph" w:styleId="user2">
    <w:name w:val="Заголовок (user)"/>
    <w:basedOn w:val="Normal"/>
    <w:next w:val="BodyText"/>
    <w:qFormat/>
    <w:pPr>
      <w:keepNext w:val="true"/>
      <w:spacing w:before="240" w:after="120"/>
    </w:pPr>
    <w:rPr>
      <w:rFonts w:ascii="Liberation Sans" w:hAnsi="Liberation Sans" w:eastAsia="Microsoft YaHei" w:cs="Arial"/>
      <w:sz w:val="28"/>
      <w:szCs w:val="28"/>
    </w:rPr>
  </w:style>
  <w:style w:type="paragraph" w:styleId="user3">
    <w:name w:val="Указатель (user)"/>
    <w:basedOn w:val="Normal"/>
    <w:qFormat/>
    <w:pPr>
      <w:suppressLineNumbers/>
    </w:pPr>
    <w:rPr>
      <w:rFonts w:cs="Arial"/>
    </w:rPr>
  </w:style>
  <w:style w:type="paragraph" w:styleId="Normalunindented" w:customStyle="1">
    <w:name w:val="Normal unindented"/>
    <w:uiPriority w:val="99"/>
    <w:qFormat/>
    <w:rsid w:val="00c358b6"/>
    <w:pPr>
      <w:widowControl/>
      <w:suppressAutoHyphens w:val="true"/>
      <w:bidi w:val="0"/>
      <w:spacing w:lineRule="auto" w:line="276" w:before="120" w:after="120"/>
      <w:jc w:val="both"/>
    </w:pPr>
    <w:rPr>
      <w:rFonts w:ascii="Times New Roman" w:hAnsi="Times New Roman" w:eastAsia="Times New Roman" w:cs="Times New Roman"/>
      <w:color w:val="auto"/>
      <w:kern w:val="0"/>
      <w:sz w:val="22"/>
      <w:szCs w:val="22"/>
      <w:lang w:val="ru-RU" w:eastAsia="ru-RU" w:bidi="ar-SA"/>
    </w:rPr>
  </w:style>
  <w:style w:type="paragraph" w:styleId="heading1normal" w:customStyle="1">
    <w:name w:val="heading 1 normal"/>
    <w:basedOn w:val="Normal"/>
    <w:next w:val="Normal"/>
    <w:uiPriority w:val="99"/>
    <w:qFormat/>
    <w:rsid w:val="00c358b6"/>
    <w:pPr>
      <w:numPr>
        <w:ilvl w:val="0"/>
        <w:numId w:val="2"/>
      </w:numPr>
      <w:ind w:hanging="0"/>
      <w:outlineLvl w:val="0"/>
    </w:pPr>
    <w:rPr/>
  </w:style>
  <w:style w:type="paragraph" w:styleId="Title">
    <w:name w:val="Title"/>
    <w:basedOn w:val="Normal"/>
    <w:next w:val="Normal"/>
    <w:link w:val="Style5"/>
    <w:uiPriority w:val="99"/>
    <w:qFormat/>
    <w:rsid w:val="00c358b6"/>
    <w:pPr>
      <w:spacing w:lineRule="auto" w:line="240" w:before="120" w:after="300"/>
      <w:contextualSpacing/>
      <w:jc w:val="center"/>
      <w:outlineLvl w:val="0"/>
    </w:pPr>
    <w:rPr>
      <w:b/>
      <w:spacing w:val="5"/>
      <w:kern w:val="2"/>
      <w:sz w:val="28"/>
      <w:szCs w:val="52"/>
    </w:rPr>
  </w:style>
  <w:style w:type="paragraph" w:styleId="ListParagraph">
    <w:name w:val="List Paragraph"/>
    <w:basedOn w:val="Normal"/>
    <w:uiPriority w:val="99"/>
    <w:qFormat/>
    <w:rsid w:val="00c358b6"/>
    <w:pPr>
      <w:spacing w:before="120" w:after="120"/>
      <w:contextualSpacing/>
      <w:jc w:val="left"/>
    </w:pPr>
    <w:rPr/>
  </w:style>
  <w:style w:type="paragraph" w:styleId="Quote">
    <w:name w:val="Quote"/>
    <w:basedOn w:val="Normal"/>
    <w:next w:val="Normal"/>
    <w:link w:val="21"/>
    <w:uiPriority w:val="99"/>
    <w:qFormat/>
    <w:rsid w:val="00c358b6"/>
    <w:pPr/>
    <w:rPr>
      <w:i/>
      <w:iCs/>
      <w:color w:val="8064A2"/>
    </w:rPr>
  </w:style>
  <w:style w:type="paragraph" w:styleId="Warning" w:customStyle="1">
    <w:name w:val="Warning"/>
    <w:basedOn w:val="Normal"/>
    <w:next w:val="Normal"/>
    <w:uiPriority w:val="99"/>
    <w:qFormat/>
    <w:rsid w:val="00c358b6"/>
    <w:pPr/>
    <w:rPr>
      <w:i/>
      <w:iCs/>
      <w:color w:val="E36C0A"/>
    </w:rPr>
  </w:style>
  <w:style w:type="paragraph" w:styleId="Style18">
    <w:name w:val="Колонтитулы"/>
    <w:basedOn w:val="Normal"/>
    <w:qFormat/>
    <w:pPr/>
    <w:rPr/>
  </w:style>
  <w:style w:type="paragraph" w:styleId="user4">
    <w:name w:val="Колонтитулы (user)"/>
    <w:basedOn w:val="Normal"/>
    <w:qFormat/>
    <w:pPr/>
    <w:rPr/>
  </w:style>
  <w:style w:type="paragraph" w:styleId="Footer">
    <w:name w:val="footer"/>
    <w:basedOn w:val="Normal"/>
    <w:link w:val="Style6"/>
    <w:uiPriority w:val="99"/>
    <w:rsid w:val="00c358b6"/>
    <w:pPr>
      <w:tabs>
        <w:tab w:val="clear" w:pos="709"/>
        <w:tab w:val="center" w:pos="4677" w:leader="none"/>
        <w:tab w:val="right" w:pos="9355" w:leader="none"/>
      </w:tabs>
      <w:spacing w:lineRule="auto" w:line="240" w:before="0" w:after="0"/>
      <w:jc w:val="center"/>
    </w:pPr>
    <w:rPr>
      <w:sz w:val="16"/>
      <w:szCs w:val="20"/>
    </w:rPr>
  </w:style>
  <w:style w:type="paragraph" w:styleId="BalloonText">
    <w:name w:val="Balloon Text"/>
    <w:basedOn w:val="Normal"/>
    <w:link w:val="Style7"/>
    <w:uiPriority w:val="99"/>
    <w:semiHidden/>
    <w:qFormat/>
    <w:rsid w:val="00c358b6"/>
    <w:pPr>
      <w:spacing w:lineRule="auto" w:line="240" w:before="0" w:after="0"/>
    </w:pPr>
    <w:rPr>
      <w:rFonts w:ascii="Tahoma" w:hAnsi="Tahoma" w:cs="Tahoma"/>
      <w:sz w:val="16"/>
      <w:szCs w:val="16"/>
    </w:rPr>
  </w:style>
  <w:style w:type="paragraph" w:styleId="ConsPlusNormal1" w:customStyle="1">
    <w:name w:val="ConsPlusNormal"/>
    <w:link w:val="ConsPlusNormal"/>
    <w:qFormat/>
    <w:rsid w:val="00d4268e"/>
    <w:pPr>
      <w:widowControl/>
      <w:suppressAutoHyphens w:val="true"/>
      <w:bidi w:val="0"/>
      <w:spacing w:before="0" w:after="0"/>
      <w:jc w:val="left"/>
    </w:pPr>
    <w:rPr>
      <w:rFonts w:ascii="Times New Roman" w:hAnsi="Times New Roman" w:eastAsia="Calibri" w:cs="Times New Roman"/>
      <w:color w:val="auto"/>
      <w:kern w:val="0"/>
      <w:sz w:val="22"/>
      <w:szCs w:val="22"/>
      <w:lang w:val="ru-RU" w:eastAsia="en-US" w:bidi="ar-SA"/>
    </w:rPr>
  </w:style>
  <w:style w:type="paragraph" w:styleId="12" w:customStyle="1">
    <w:name w:val="Маркер1"/>
    <w:basedOn w:val="Normal"/>
    <w:qFormat/>
    <w:rsid w:val="00770e8f"/>
    <w:pPr>
      <w:widowControl w:val="false"/>
      <w:tabs>
        <w:tab w:val="clear" w:pos="709"/>
        <w:tab w:val="left" w:pos="360" w:leader="none"/>
      </w:tabs>
      <w:suppressAutoHyphens w:val="true"/>
      <w:spacing w:lineRule="atLeast" w:line="300" w:before="120" w:after="0"/>
      <w:ind w:hanging="0"/>
    </w:pPr>
    <w:rPr>
      <w:sz w:val="24"/>
      <w:szCs w:val="20"/>
      <w:lang w:eastAsia="zh-CN"/>
    </w:rPr>
  </w:style>
  <w:style w:type="paragraph" w:styleId="NoSpacing">
    <w:name w:val="No Spacing"/>
    <w:link w:val="Style8"/>
    <w:uiPriority w:val="1"/>
    <w:qFormat/>
    <w:rsid w:val="00770e8f"/>
    <w:pPr>
      <w:widowControl/>
      <w:suppressAutoHyphens w:val="true"/>
      <w:bidi w:val="0"/>
      <w:spacing w:before="0" w:after="0"/>
      <w:jc w:val="left"/>
    </w:pPr>
    <w:rPr>
      <w:rFonts w:ascii="Calibri" w:hAnsi="Calibri" w:eastAsia="Calibri" w:cs="Calibri"/>
      <w:color w:val="auto"/>
      <w:kern w:val="0"/>
      <w:sz w:val="22"/>
      <w:szCs w:val="22"/>
      <w:lang w:val="ru-RU" w:eastAsia="ru-RU" w:bidi="ar-SA"/>
    </w:rPr>
  </w:style>
  <w:style w:type="paragraph" w:styleId="NormalWeb">
    <w:name w:val="Normal (Web)"/>
    <w:basedOn w:val="Normal"/>
    <w:uiPriority w:val="99"/>
    <w:unhideWhenUsed/>
    <w:qFormat/>
    <w:rsid w:val="00560f53"/>
    <w:pPr>
      <w:spacing w:lineRule="auto" w:line="240" w:beforeAutospacing="1" w:afterAutospacing="1"/>
      <w:ind w:hanging="0"/>
      <w:jc w:val="left"/>
    </w:pPr>
    <w:rPr>
      <w:sz w:val="24"/>
      <w:szCs w:val="24"/>
    </w:rPr>
  </w:style>
  <w:style w:type="paragraph" w:styleId="EndnoteText">
    <w:name w:val="endnote text"/>
    <w:basedOn w:val="Normal"/>
    <w:link w:val="Style9"/>
    <w:uiPriority w:val="99"/>
    <w:semiHidden/>
    <w:unhideWhenUsed/>
    <w:rsid w:val="00560f53"/>
    <w:pPr>
      <w:spacing w:lineRule="auto" w:line="240" w:before="0" w:after="0"/>
      <w:ind w:hanging="0"/>
      <w:jc w:val="left"/>
    </w:pPr>
    <w:rPr>
      <w:sz w:val="20"/>
      <w:szCs w:val="20"/>
    </w:rPr>
  </w:style>
  <w:style w:type="paragraph" w:styleId="FootnoteText">
    <w:name w:val="footnote text"/>
    <w:basedOn w:val="Normal"/>
    <w:link w:val="11"/>
    <w:uiPriority w:val="99"/>
    <w:unhideWhenUsed/>
    <w:qFormat/>
    <w:rsid w:val="00f4015c"/>
    <w:pPr>
      <w:spacing w:lineRule="auto" w:line="240" w:beforeAutospacing="1" w:afterAutospacing="1"/>
      <w:ind w:hanging="0"/>
      <w:jc w:val="left"/>
    </w:pPr>
    <w:rPr>
      <w:rFonts w:ascii="Tahoma" w:hAnsi="Tahoma"/>
      <w:sz w:val="20"/>
      <w:szCs w:val="20"/>
      <w:lang w:val="en-US" w:eastAsia="en-US"/>
    </w:rPr>
  </w:style>
  <w:style w:type="paragraph" w:styleId="13" w:customStyle="1">
    <w:name w:val="Знак сноски1"/>
    <w:basedOn w:val="Normal"/>
    <w:uiPriority w:val="99"/>
    <w:qFormat/>
    <w:rsid w:val="00f4015c"/>
    <w:pPr>
      <w:spacing w:before="0" w:after="200"/>
      <w:ind w:hanging="0"/>
      <w:jc w:val="left"/>
    </w:pPr>
    <w:rPr>
      <w:rFonts w:ascii="Calibri" w:hAnsi="Calibri" w:eastAsia="Calibri"/>
      <w:vertAlign w:val="superscript"/>
    </w:rPr>
  </w:style>
  <w:style w:type="paragraph" w:styleId="CommentText">
    <w:name w:val="annotation text"/>
    <w:basedOn w:val="Normal"/>
    <w:link w:val="Style13"/>
    <w:uiPriority w:val="99"/>
    <w:semiHidden/>
    <w:unhideWhenUsed/>
    <w:rsid w:val="009600fb"/>
    <w:pPr>
      <w:spacing w:lineRule="auto" w:line="240"/>
    </w:pPr>
    <w:rPr>
      <w:sz w:val="20"/>
      <w:szCs w:val="20"/>
    </w:rPr>
  </w:style>
  <w:style w:type="paragraph" w:styleId="annotationsubject">
    <w:name w:val="annotation subject"/>
    <w:basedOn w:val="CommentText"/>
    <w:next w:val="CommentText"/>
    <w:link w:val="Style14"/>
    <w:uiPriority w:val="99"/>
    <w:semiHidden/>
    <w:unhideWhenUsed/>
    <w:qFormat/>
    <w:rsid w:val="009600fb"/>
    <w:pPr/>
    <w:rPr>
      <w:b/>
      <w:bCs/>
    </w:rPr>
  </w:style>
  <w:style w:type="paragraph" w:styleId="Header">
    <w:name w:val="header"/>
    <w:basedOn w:val="Normal"/>
    <w:link w:val="Style15"/>
    <w:uiPriority w:val="99"/>
    <w:unhideWhenUsed/>
    <w:rsid w:val="00066d73"/>
    <w:pPr>
      <w:tabs>
        <w:tab w:val="clear" w:pos="709"/>
        <w:tab w:val="center" w:pos="4677" w:leader="none"/>
        <w:tab w:val="right" w:pos="9355" w:leader="none"/>
      </w:tabs>
      <w:spacing w:lineRule="auto" w:line="240" w:before="0" w:after="0"/>
    </w:pPr>
    <w:rPr/>
  </w:style>
  <w:style w:type="paragraph" w:styleId="Style19">
    <w:name w:val="Содержимое таблицы"/>
    <w:basedOn w:val="Normal"/>
    <w:qFormat/>
    <w:pPr>
      <w:widowControl w:val="false"/>
      <w:suppressLineNumbers/>
    </w:pPr>
    <w:rPr/>
  </w:style>
  <w:style w:type="paragraph" w:styleId="Style20">
    <w:name w:val="Заголовок таблицы"/>
    <w:basedOn w:val="Style19"/>
    <w:qFormat/>
    <w:pPr>
      <w:suppressLineNumbers/>
      <w:jc w:val="center"/>
    </w:pPr>
    <w:rPr>
      <w:b/>
      <w:bCs/>
    </w:rPr>
  </w:style>
  <w:style w:type="numbering" w:styleId="Style21" w:default="1">
    <w:name w:val="Без списка"/>
    <w:uiPriority w:val="99"/>
    <w:semiHidden/>
    <w:unhideWhenUsed/>
    <w:qFormat/>
  </w:style>
  <w:style w:type="table" w:default="1" w:styleId="a1">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consultantplus://offline/ref=7A0C22ED73F26C9D6D9B7A143878F9FA7E796E35F0B5B51C9C2CA224AB40F6B5B11C5F58F8B8F88879A637832785E91DCDEE3EA34D8Dc0W3S" TargetMode="External"/><Relationship Id="rId3" Type="http://schemas.openxmlformats.org/officeDocument/2006/relationships/hyperlink" Target="https://login.consultant.ru/link/?req=doc&amp;base=LAW&amp;n=466154&amp;dst=12374&amp;field=134&amp;date=21.01.2025" TargetMode="External"/><Relationship Id="rId4" Type="http://schemas.openxmlformats.org/officeDocument/2006/relationships/hyperlink" Target="https://login.consultant.ru/link/?req=doc&amp;base=LAW&amp;n=466154&amp;dst=12375&amp;field=134&amp;date=21.01.2025" TargetMode="External"/><Relationship Id="rId5" Type="http://schemas.openxmlformats.org/officeDocument/2006/relationships/hyperlink" Target="https://login.consultant.ru/link/?req=doc&amp;base=LAW&amp;n=466154&amp;dst=12376&amp;field=134&amp;date=21.01.2025" TargetMode="Externa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oter" Target="footer3.xml"/><Relationship Id="rId9" Type="http://schemas.openxmlformats.org/officeDocument/2006/relationships/footer" Target="footer4.xml"/><Relationship Id="rId10" Type="http://schemas.openxmlformats.org/officeDocument/2006/relationships/footer" Target="footer5.xml"/><Relationship Id="rId11" Type="http://schemas.openxmlformats.org/officeDocument/2006/relationships/footer" Target="footer6.xml"/><Relationship Id="rId12" Type="http://schemas.openxmlformats.org/officeDocument/2006/relationships/numbering" Target="numbering.xml"/><Relationship Id="rId13" Type="http://schemas.openxmlformats.org/officeDocument/2006/relationships/fontTable" Target="fontTable.xml"/><Relationship Id="rId14" Type="http://schemas.openxmlformats.org/officeDocument/2006/relationships/settings" Target="settings.xml"/><Relationship Id="rId15" Type="http://schemas.openxmlformats.org/officeDocument/2006/relationships/theme" Target="theme/theme1.xml"/><Relationship Id="rId16"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44938E-7D4A-43A1-82BF-02770777DD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TotalTime>
  <Application>LibreOffice/26.2.1.2$Windows_X86_64 LibreOffice_project/620$Build-2</Application>
  <AppVersion>15.0000</AppVersion>
  <Pages>15</Pages>
  <Words>4162</Words>
  <Characters>28708</Characters>
  <CharactersWithSpaces>32625</CharactersWithSpaces>
  <Paragraphs>296</Paragraphs>
  <Company>ДИЗО</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2025-06-23T11:33:00Z</dcterms:created>
  <dc:creator>Морозова</dc:creator>
  <dc:description/>
  <dc:language>ru-RU</dc:language>
  <cp:lastModifiedBy/>
  <cp:lastPrinted>2026-09-08T14:13:04Z</cp:lastPrinted>
  <dcterms:modified xsi:type="dcterms:W3CDTF">2026-09-10T14:31:06Z</dcterms:modified>
  <cp:revision>120</cp:revision>
  <dc:subject/>
  <dc:title/>
</cp:coreProperties>
</file>

<file path=docProps/custom.xml><?xml version="1.0" encoding="utf-8"?>
<Properties xmlns="http://schemas.openxmlformats.org/officeDocument/2006/custom-properties" xmlns:vt="http://schemas.openxmlformats.org/officeDocument/2006/docPropsVTypes"/>
</file>