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AE3" w:rsidRPr="00123AE3" w:rsidRDefault="00033FCC" w:rsidP="00123AE3">
      <w:pPr>
        <w:tabs>
          <w:tab w:val="left" w:pos="3261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23AE3">
        <w:rPr>
          <w:rFonts w:ascii="Times New Roman" w:hAnsi="Times New Roman"/>
          <w:bCs/>
          <w:sz w:val="24"/>
          <w:szCs w:val="24"/>
        </w:rPr>
        <w:t xml:space="preserve">Приложение </w:t>
      </w:r>
      <w:proofErr w:type="gramStart"/>
      <w:r w:rsidRPr="00123AE3">
        <w:rPr>
          <w:rFonts w:ascii="Times New Roman" w:hAnsi="Times New Roman"/>
          <w:bCs/>
          <w:sz w:val="24"/>
          <w:szCs w:val="24"/>
        </w:rPr>
        <w:t xml:space="preserve">к </w:t>
      </w:r>
      <w:r w:rsidR="00123AE3" w:rsidRPr="00123AE3">
        <w:rPr>
          <w:rFonts w:ascii="Times New Roman" w:hAnsi="Times New Roman"/>
          <w:bCs/>
          <w:sz w:val="24"/>
          <w:szCs w:val="24"/>
        </w:rPr>
        <w:t xml:space="preserve"> </w:t>
      </w:r>
      <w:r w:rsidR="003E0437" w:rsidRPr="00FA4861">
        <w:rPr>
          <w:rFonts w:ascii="Times New Roman" w:hAnsi="Times New Roman"/>
          <w:bCs/>
          <w:sz w:val="24"/>
          <w:szCs w:val="24"/>
        </w:rPr>
        <w:t>договору</w:t>
      </w:r>
      <w:proofErr w:type="gramEnd"/>
    </w:p>
    <w:p w:rsidR="00AC5A70" w:rsidRPr="00DA5955" w:rsidRDefault="00AC5A70" w:rsidP="00904D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04D84" w:rsidRPr="000145D4" w:rsidRDefault="00904D84" w:rsidP="00904D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145D4">
        <w:rPr>
          <w:rFonts w:ascii="Times New Roman" w:hAnsi="Times New Roman"/>
          <w:b/>
          <w:bCs/>
          <w:sz w:val="28"/>
          <w:szCs w:val="28"/>
        </w:rPr>
        <w:t>Обоснование начальной (максимальной) цены контракта</w:t>
      </w:r>
      <w:r w:rsidR="003E0437">
        <w:rPr>
          <w:rFonts w:ascii="Times New Roman" w:hAnsi="Times New Roman"/>
          <w:b/>
          <w:bCs/>
          <w:sz w:val="28"/>
          <w:szCs w:val="28"/>
        </w:rPr>
        <w:t xml:space="preserve"> с ед. поставщиком </w:t>
      </w:r>
    </w:p>
    <w:tbl>
      <w:tblPr>
        <w:tblW w:w="9781" w:type="dxa"/>
        <w:tblInd w:w="-132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5"/>
        <w:gridCol w:w="5386"/>
      </w:tblGrid>
      <w:tr w:rsidR="009205DB" w:rsidRPr="003E0437" w:rsidTr="0010635A">
        <w:tc>
          <w:tcPr>
            <w:tcW w:w="4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hideMark/>
          </w:tcPr>
          <w:p w:rsidR="009205DB" w:rsidRPr="003E0437" w:rsidRDefault="009205DB" w:rsidP="00EF27DF">
            <w:pPr>
              <w:pStyle w:val="a6"/>
              <w:ind w:right="57"/>
              <w:jc w:val="center"/>
              <w:rPr>
                <w:b/>
                <w:sz w:val="20"/>
                <w:szCs w:val="20"/>
                <w:lang w:eastAsia="ru-RU"/>
              </w:rPr>
            </w:pPr>
            <w:r w:rsidRPr="003E0437">
              <w:rPr>
                <w:b/>
                <w:sz w:val="20"/>
                <w:szCs w:val="20"/>
                <w:lang w:eastAsia="ru-RU"/>
              </w:rPr>
              <w:t>Предмет контракта</w:t>
            </w:r>
          </w:p>
        </w:tc>
        <w:tc>
          <w:tcPr>
            <w:tcW w:w="53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9205DB" w:rsidRPr="003E0437" w:rsidRDefault="00CE12A0" w:rsidP="007F3E02">
            <w:pPr>
              <w:autoSpaceDE w:val="0"/>
              <w:autoSpaceDN w:val="0"/>
              <w:adjustRightInd w:val="0"/>
              <w:ind w:left="122" w:right="129"/>
              <w:rPr>
                <w:rFonts w:ascii="Times New Roman" w:hAnsi="Times New Roman"/>
                <w:sz w:val="20"/>
                <w:szCs w:val="20"/>
              </w:rPr>
            </w:pPr>
            <w:r w:rsidRPr="003E0437">
              <w:rPr>
                <w:rFonts w:ascii="Times New Roman" w:hAnsi="Times New Roman"/>
                <w:sz w:val="20"/>
                <w:szCs w:val="20"/>
              </w:rPr>
              <w:t xml:space="preserve">Поставщик обязуется поставить </w:t>
            </w:r>
            <w:r w:rsidR="007F3E02">
              <w:rPr>
                <w:rFonts w:ascii="Times New Roman" w:hAnsi="Times New Roman"/>
                <w:sz w:val="20"/>
                <w:szCs w:val="20"/>
              </w:rPr>
              <w:t>ламбрекены, портьеры и кулисы для сцены</w:t>
            </w:r>
            <w:r w:rsidRPr="00FA4861">
              <w:rPr>
                <w:rFonts w:ascii="Times New Roman" w:hAnsi="Times New Roman"/>
                <w:sz w:val="20"/>
                <w:szCs w:val="20"/>
              </w:rPr>
              <w:t>,</w:t>
            </w:r>
            <w:r w:rsidRPr="003E0437">
              <w:rPr>
                <w:rFonts w:ascii="Times New Roman" w:hAnsi="Times New Roman"/>
                <w:sz w:val="20"/>
                <w:szCs w:val="20"/>
              </w:rPr>
              <w:t xml:space="preserve"> а Заказчик обязуется принять и оплатить товар в порядке и на условиях, предусмотренных </w:t>
            </w:r>
            <w:r w:rsidR="00FA4861">
              <w:rPr>
                <w:rFonts w:ascii="Times New Roman" w:hAnsi="Times New Roman"/>
                <w:sz w:val="20"/>
                <w:szCs w:val="20"/>
              </w:rPr>
              <w:t>Договором</w:t>
            </w:r>
            <w:r w:rsidRPr="003E04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10E85" w:rsidRPr="003E0437" w:rsidTr="0010635A">
        <w:tc>
          <w:tcPr>
            <w:tcW w:w="4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hideMark/>
          </w:tcPr>
          <w:p w:rsidR="00D10E85" w:rsidRPr="003E0437" w:rsidRDefault="00D10E85" w:rsidP="00EF27DF">
            <w:pPr>
              <w:pStyle w:val="a6"/>
              <w:ind w:right="57"/>
              <w:jc w:val="center"/>
              <w:rPr>
                <w:b/>
                <w:sz w:val="20"/>
                <w:szCs w:val="20"/>
              </w:rPr>
            </w:pPr>
            <w:r w:rsidRPr="003E0437">
              <w:rPr>
                <w:b/>
                <w:bCs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53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D10E85" w:rsidRPr="003E0437" w:rsidRDefault="00D10E85" w:rsidP="00FA4861">
            <w:pPr>
              <w:autoSpaceDE w:val="0"/>
              <w:autoSpaceDN w:val="0"/>
              <w:adjustRightInd w:val="0"/>
              <w:ind w:left="122" w:right="129"/>
              <w:rPr>
                <w:rFonts w:ascii="Times New Roman" w:hAnsi="Times New Roman"/>
                <w:sz w:val="20"/>
                <w:szCs w:val="20"/>
              </w:rPr>
            </w:pPr>
            <w:r w:rsidRPr="003E04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437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В соответствии с приложением </w:t>
            </w:r>
            <w:r w:rsidR="00FA4861">
              <w:rPr>
                <w:rFonts w:ascii="Times New Roman" w:hAnsi="Times New Roman"/>
                <w:sz w:val="20"/>
                <w:szCs w:val="20"/>
              </w:rPr>
              <w:t>№1 к Договору</w:t>
            </w:r>
            <w:r w:rsidRPr="003E04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10E85" w:rsidRPr="003E0437" w:rsidTr="0010635A">
        <w:tc>
          <w:tcPr>
            <w:tcW w:w="4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hideMark/>
          </w:tcPr>
          <w:p w:rsidR="00D10E85" w:rsidRPr="003E0437" w:rsidRDefault="00D10E85" w:rsidP="00EF27DF">
            <w:pPr>
              <w:pStyle w:val="a6"/>
              <w:ind w:right="57"/>
              <w:jc w:val="center"/>
              <w:rPr>
                <w:b/>
                <w:bCs/>
                <w:sz w:val="20"/>
                <w:szCs w:val="20"/>
              </w:rPr>
            </w:pPr>
            <w:r w:rsidRPr="003E0437">
              <w:rPr>
                <w:b/>
                <w:sz w:val="20"/>
                <w:szCs w:val="20"/>
              </w:rPr>
              <w:t>Информация о валюте, используемой для формирования цены контракта и расчетов с поставщиками (подрядчиками, исполнителями)</w:t>
            </w:r>
          </w:p>
        </w:tc>
        <w:tc>
          <w:tcPr>
            <w:tcW w:w="53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D10E85" w:rsidRPr="003E0437" w:rsidRDefault="00D10E85" w:rsidP="008A2DAF">
            <w:pPr>
              <w:autoSpaceDE w:val="0"/>
              <w:autoSpaceDN w:val="0"/>
              <w:adjustRightInd w:val="0"/>
              <w:ind w:left="122" w:right="129"/>
              <w:rPr>
                <w:rFonts w:ascii="Times New Roman" w:hAnsi="Times New Roman"/>
                <w:sz w:val="20"/>
                <w:szCs w:val="20"/>
              </w:rPr>
            </w:pPr>
            <w:r w:rsidRPr="003E0437">
              <w:rPr>
                <w:rFonts w:ascii="Times New Roman" w:hAnsi="Times New Roman"/>
                <w:sz w:val="20"/>
                <w:szCs w:val="20"/>
              </w:rPr>
              <w:t>Цена контракта указана в рублях Российской Федерации</w:t>
            </w:r>
          </w:p>
        </w:tc>
      </w:tr>
      <w:tr w:rsidR="009205DB" w:rsidRPr="003E0437" w:rsidTr="0010635A">
        <w:tc>
          <w:tcPr>
            <w:tcW w:w="4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hideMark/>
          </w:tcPr>
          <w:p w:rsidR="009205DB" w:rsidRPr="003E0437" w:rsidRDefault="00D10E85" w:rsidP="00EF27DF">
            <w:pPr>
              <w:pStyle w:val="a6"/>
              <w:ind w:right="57"/>
              <w:jc w:val="center"/>
              <w:rPr>
                <w:b/>
                <w:sz w:val="20"/>
                <w:szCs w:val="20"/>
              </w:rPr>
            </w:pPr>
            <w:r w:rsidRPr="003E0437">
              <w:rPr>
                <w:b/>
                <w:sz w:val="20"/>
                <w:szCs w:val="20"/>
              </w:rPr>
      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</w:t>
            </w:r>
          </w:p>
        </w:tc>
        <w:tc>
          <w:tcPr>
            <w:tcW w:w="53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9205DB" w:rsidRPr="003E0437" w:rsidRDefault="00D10E85" w:rsidP="008A2DAF">
            <w:pPr>
              <w:pStyle w:val="Style8"/>
              <w:widowControl/>
              <w:tabs>
                <w:tab w:val="left" w:pos="3402"/>
                <w:tab w:val="left" w:leader="underscore" w:pos="4915"/>
              </w:tabs>
              <w:ind w:left="122" w:right="129"/>
              <w:jc w:val="both"/>
              <w:rPr>
                <w:sz w:val="20"/>
                <w:szCs w:val="20"/>
              </w:rPr>
            </w:pPr>
            <w:r w:rsidRPr="003E0437">
              <w:rPr>
                <w:sz w:val="20"/>
                <w:szCs w:val="20"/>
              </w:rPr>
              <w:t>Оплата в иностранной валюте не допускается.</w:t>
            </w:r>
          </w:p>
        </w:tc>
      </w:tr>
      <w:tr w:rsidR="009205DB" w:rsidRPr="003E0437" w:rsidTr="0010635A">
        <w:tc>
          <w:tcPr>
            <w:tcW w:w="4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9205DB" w:rsidRPr="003E0437" w:rsidRDefault="009205DB" w:rsidP="00EF27DF">
            <w:pPr>
              <w:pStyle w:val="a6"/>
              <w:ind w:right="5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E0437">
              <w:rPr>
                <w:rFonts w:eastAsiaTheme="minorHAnsi"/>
                <w:sz w:val="20"/>
                <w:szCs w:val="20"/>
                <w:lang w:eastAsia="en-US"/>
              </w:rPr>
              <w:t>Используемый метод определения с обоснованием</w:t>
            </w:r>
          </w:p>
        </w:tc>
        <w:tc>
          <w:tcPr>
            <w:tcW w:w="53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A2DAF" w:rsidRDefault="00085435" w:rsidP="008A2DAF">
            <w:pPr>
              <w:tabs>
                <w:tab w:val="left" w:pos="5212"/>
              </w:tabs>
              <w:autoSpaceDE w:val="0"/>
              <w:autoSpaceDN w:val="0"/>
              <w:adjustRightInd w:val="0"/>
              <w:spacing w:after="0" w:line="240" w:lineRule="auto"/>
              <w:ind w:left="122" w:right="129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3E043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     Порядок, предусмотренный </w:t>
            </w:r>
            <w:hyperlink r:id="rId4" w:history="1">
              <w:r w:rsidRPr="003E0437">
                <w:rPr>
                  <w:rFonts w:ascii="Times New Roman" w:eastAsiaTheme="minorHAnsi" w:hAnsi="Times New Roman"/>
                  <w:sz w:val="20"/>
                  <w:szCs w:val="20"/>
                  <w:lang w:eastAsia="en-US"/>
                </w:rPr>
                <w:t>подпунктом "в"</w:t>
              </w:r>
            </w:hyperlink>
            <w:r w:rsidRPr="003E043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пункта 7 Постановления Правительства РФ от 23.12.2024 № 1875, не применяется с</w:t>
            </w:r>
            <w:r w:rsidR="00CE12A0" w:rsidRPr="003E043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огласно подпункт</w:t>
            </w:r>
            <w:r w:rsidR="00123AE3" w:rsidRPr="003E043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у</w:t>
            </w:r>
            <w:r w:rsidR="00CE12A0" w:rsidRPr="003E043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«</w:t>
            </w:r>
            <w:r w:rsidR="00123AE3" w:rsidRPr="003E043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г</w:t>
            </w:r>
            <w:r w:rsidR="00CE12A0" w:rsidRPr="003E043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»  пункта 7</w:t>
            </w:r>
            <w:r w:rsidRPr="003E043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указанного Постановления</w:t>
            </w:r>
            <w:r w:rsidR="008A2DA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:</w:t>
            </w:r>
          </w:p>
          <w:p w:rsidR="008A2DAF" w:rsidRDefault="008A2DAF" w:rsidP="008A2DAF">
            <w:pPr>
              <w:tabs>
                <w:tab w:val="left" w:pos="5083"/>
              </w:tabs>
              <w:autoSpaceDE w:val="0"/>
              <w:autoSpaceDN w:val="0"/>
              <w:adjustRightInd w:val="0"/>
              <w:spacing w:after="0" w:line="240" w:lineRule="auto"/>
              <w:ind w:left="122" w:right="129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- «заказчиком в случаях, предусмотренных </w:t>
            </w:r>
            <w:hyperlink r:id="rId5" w:history="1">
              <w:r>
                <w:rPr>
                  <w:rFonts w:ascii="Times New Roman" w:eastAsiaTheme="minorHAnsi" w:hAnsi="Times New Roman"/>
                  <w:color w:val="0000FF"/>
                  <w:sz w:val="20"/>
                  <w:szCs w:val="20"/>
                  <w:lang w:eastAsia="en-US"/>
                </w:rPr>
                <w:t>подпункт</w:t>
              </w:r>
              <w:r w:rsidR="00FA4861">
                <w:rPr>
                  <w:rFonts w:ascii="Times New Roman" w:eastAsiaTheme="minorHAnsi" w:hAnsi="Times New Roman"/>
                  <w:color w:val="0000FF"/>
                  <w:sz w:val="20"/>
                  <w:szCs w:val="20"/>
                  <w:lang w:eastAsia="en-US"/>
                </w:rPr>
                <w:t>ом</w:t>
              </w:r>
              <w:r>
                <w:rPr>
                  <w:rFonts w:ascii="Times New Roman" w:eastAsiaTheme="minorHAnsi" w:hAnsi="Times New Roman"/>
                  <w:color w:val="0000FF"/>
                  <w:sz w:val="20"/>
                  <w:szCs w:val="20"/>
                  <w:lang w:eastAsia="en-US"/>
                </w:rPr>
                <w:t xml:space="preserve"> "и"</w:t>
              </w:r>
            </w:hyperlink>
            <w:r w:rsidR="00FA4861">
              <w:rPr>
                <w:rFonts w:ascii="Times New Roman" w:eastAsiaTheme="minorHAnsi" w:hAnsi="Times New Roman"/>
                <w:color w:val="0000FF"/>
                <w:sz w:val="20"/>
                <w:szCs w:val="20"/>
                <w:lang w:eastAsia="en-US"/>
              </w:rPr>
              <w:t xml:space="preserve"> пункта 5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настоящего постано</w:t>
            </w:r>
            <w:r w:rsidR="00FA486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вления, не применяются запреты»</w:t>
            </w:r>
          </w:p>
          <w:p w:rsidR="00123AE3" w:rsidRPr="003E0437" w:rsidRDefault="00085435" w:rsidP="008A2DAF">
            <w:pPr>
              <w:tabs>
                <w:tab w:val="left" w:pos="5212"/>
              </w:tabs>
              <w:autoSpaceDE w:val="0"/>
              <w:autoSpaceDN w:val="0"/>
              <w:adjustRightInd w:val="0"/>
              <w:spacing w:after="0" w:line="240" w:lineRule="auto"/>
              <w:ind w:left="122" w:right="129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3E043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    </w:t>
            </w:r>
            <w:r w:rsidR="00123AE3" w:rsidRPr="003E043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Заказчиком применен иной метод обоснования НМЦК - метод сопоставимых рыночных цен (анализа рынка).</w:t>
            </w:r>
          </w:p>
          <w:p w:rsidR="003E0437" w:rsidRPr="003E0437" w:rsidRDefault="00EF27DF" w:rsidP="007F3E02">
            <w:pPr>
              <w:pStyle w:val="a6"/>
              <w:tabs>
                <w:tab w:val="left" w:pos="5212"/>
              </w:tabs>
              <w:ind w:left="122" w:right="129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E0437">
              <w:rPr>
                <w:rFonts w:eastAsiaTheme="minorHAnsi"/>
                <w:sz w:val="20"/>
                <w:szCs w:val="20"/>
                <w:lang w:eastAsia="en-US"/>
              </w:rPr>
              <w:t xml:space="preserve">Для этих целей </w:t>
            </w:r>
            <w:r w:rsidR="00123AE3" w:rsidRPr="003E0437">
              <w:rPr>
                <w:rFonts w:eastAsiaTheme="minorHAnsi"/>
                <w:sz w:val="20"/>
                <w:szCs w:val="20"/>
                <w:lang w:eastAsia="en-US"/>
              </w:rPr>
              <w:t xml:space="preserve">цены Товара </w:t>
            </w:r>
            <w:r w:rsidRPr="003E0437">
              <w:rPr>
                <w:rFonts w:eastAsiaTheme="minorHAnsi"/>
                <w:sz w:val="20"/>
                <w:szCs w:val="20"/>
                <w:lang w:eastAsia="en-US"/>
              </w:rPr>
              <w:t xml:space="preserve">взяты из </w:t>
            </w:r>
            <w:r w:rsidR="003E0437" w:rsidRPr="003E0437">
              <w:rPr>
                <w:rFonts w:eastAsiaTheme="minorHAnsi"/>
                <w:sz w:val="20"/>
                <w:szCs w:val="20"/>
                <w:lang w:eastAsia="en-US"/>
              </w:rPr>
              <w:t>КП</w:t>
            </w:r>
          </w:p>
        </w:tc>
      </w:tr>
      <w:tr w:rsidR="009205DB" w:rsidRPr="003E0437" w:rsidTr="0010635A">
        <w:trPr>
          <w:trHeight w:val="262"/>
        </w:trPr>
        <w:tc>
          <w:tcPr>
            <w:tcW w:w="4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9205DB" w:rsidRPr="003E0437" w:rsidRDefault="009205DB" w:rsidP="00EF27DF">
            <w:pPr>
              <w:pStyle w:val="a6"/>
              <w:ind w:right="57"/>
              <w:jc w:val="center"/>
              <w:rPr>
                <w:b/>
                <w:sz w:val="20"/>
                <w:szCs w:val="20"/>
              </w:rPr>
            </w:pPr>
            <w:r w:rsidRPr="003E0437">
              <w:rPr>
                <w:b/>
                <w:sz w:val="20"/>
                <w:szCs w:val="20"/>
              </w:rPr>
              <w:t xml:space="preserve">Расчет НМЦК </w:t>
            </w:r>
          </w:p>
        </w:tc>
        <w:tc>
          <w:tcPr>
            <w:tcW w:w="53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123AE3" w:rsidRPr="003E0437" w:rsidRDefault="00BB1AE2" w:rsidP="008A2DAF">
            <w:pPr>
              <w:spacing w:after="0" w:line="240" w:lineRule="auto"/>
              <w:ind w:left="122" w:right="129"/>
              <w:rPr>
                <w:rFonts w:ascii="Times New Roman" w:hAnsi="Times New Roman"/>
                <w:sz w:val="20"/>
                <w:szCs w:val="20"/>
              </w:rPr>
            </w:pPr>
            <w:r w:rsidRPr="003E0437">
              <w:rPr>
                <w:rFonts w:ascii="Times New Roman" w:hAnsi="Times New Roman"/>
                <w:sz w:val="20"/>
                <w:szCs w:val="20"/>
              </w:rPr>
              <w:t xml:space="preserve">Начальная (максимальная) цена контракта: </w:t>
            </w:r>
            <w:r w:rsidR="00D47766">
              <w:rPr>
                <w:rFonts w:ascii="Times New Roman" w:hAnsi="Times New Roman"/>
                <w:color w:val="000000"/>
                <w:sz w:val="20"/>
                <w:szCs w:val="20"/>
              </w:rPr>
              <w:t>272 115,00</w:t>
            </w:r>
            <w:r w:rsidR="00D477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E0437">
              <w:rPr>
                <w:rFonts w:ascii="Times New Roman" w:hAnsi="Times New Roman"/>
                <w:sz w:val="20"/>
                <w:szCs w:val="20"/>
                <w:highlight w:val="yellow"/>
              </w:rPr>
              <w:t>руб.</w:t>
            </w:r>
          </w:p>
          <w:p w:rsidR="009205DB" w:rsidRPr="003E0437" w:rsidRDefault="009205DB" w:rsidP="008A2DAF">
            <w:pPr>
              <w:spacing w:after="0" w:line="240" w:lineRule="auto"/>
              <w:ind w:left="122" w:right="129"/>
              <w:rPr>
                <w:rFonts w:ascii="Times New Roman" w:hAnsi="Times New Roman"/>
                <w:sz w:val="20"/>
                <w:szCs w:val="20"/>
              </w:rPr>
            </w:pPr>
            <w:r w:rsidRPr="003E0437">
              <w:rPr>
                <w:rFonts w:ascii="Times New Roman" w:hAnsi="Times New Roman"/>
                <w:sz w:val="20"/>
                <w:szCs w:val="20"/>
              </w:rPr>
              <w:t>Приложение к обоснованию</w:t>
            </w:r>
          </w:p>
        </w:tc>
      </w:tr>
      <w:tr w:rsidR="0071568E" w:rsidRPr="003E0437" w:rsidTr="0010635A">
        <w:trPr>
          <w:trHeight w:val="262"/>
        </w:trPr>
        <w:tc>
          <w:tcPr>
            <w:tcW w:w="4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71568E" w:rsidRPr="003E0437" w:rsidRDefault="0071568E">
            <w:pPr>
              <w:pStyle w:val="a6"/>
              <w:spacing w:line="276" w:lineRule="auto"/>
              <w:ind w:right="57"/>
              <w:jc w:val="center"/>
              <w:rPr>
                <w:b/>
                <w:sz w:val="20"/>
                <w:szCs w:val="20"/>
              </w:rPr>
            </w:pPr>
            <w:r w:rsidRPr="003E0437">
              <w:rPr>
                <w:b/>
                <w:sz w:val="20"/>
                <w:szCs w:val="20"/>
              </w:rPr>
              <w:t>Код вида расходов (КВР)</w:t>
            </w:r>
          </w:p>
        </w:tc>
        <w:tc>
          <w:tcPr>
            <w:tcW w:w="53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F13366" w:rsidRPr="003E0437" w:rsidRDefault="0071568E" w:rsidP="008A2DAF">
            <w:pPr>
              <w:spacing w:after="0" w:line="240" w:lineRule="auto"/>
              <w:ind w:left="122" w:right="129"/>
              <w:rPr>
                <w:rFonts w:ascii="Times New Roman" w:hAnsi="Times New Roman"/>
                <w:sz w:val="20"/>
                <w:szCs w:val="20"/>
              </w:rPr>
            </w:pPr>
            <w:r w:rsidRPr="003E0437">
              <w:rPr>
                <w:rFonts w:ascii="Times New Roman" w:hAnsi="Times New Roman"/>
                <w:sz w:val="20"/>
                <w:szCs w:val="20"/>
              </w:rPr>
              <w:t xml:space="preserve">Наименование бюджета: </w:t>
            </w:r>
          </w:p>
          <w:p w:rsidR="00F13366" w:rsidRPr="003E0437" w:rsidRDefault="00F13366" w:rsidP="008A2DAF">
            <w:pPr>
              <w:spacing w:after="0" w:line="240" w:lineRule="auto"/>
              <w:ind w:left="122" w:right="129"/>
              <w:rPr>
                <w:rFonts w:ascii="Times New Roman" w:hAnsi="Times New Roman"/>
                <w:b/>
                <w:sz w:val="20"/>
                <w:szCs w:val="20"/>
              </w:rPr>
            </w:pPr>
            <w:r w:rsidRPr="003E0437">
              <w:rPr>
                <w:rFonts w:ascii="Times New Roman" w:hAnsi="Times New Roman"/>
                <w:sz w:val="20"/>
                <w:szCs w:val="20"/>
              </w:rPr>
              <w:t>К</w:t>
            </w:r>
            <w:r w:rsidR="0071568E" w:rsidRPr="003E0437">
              <w:rPr>
                <w:rFonts w:ascii="Times New Roman" w:hAnsi="Times New Roman"/>
                <w:sz w:val="20"/>
                <w:szCs w:val="20"/>
              </w:rPr>
              <w:t xml:space="preserve">ВР </w:t>
            </w:r>
            <w:r w:rsidR="00FA4861">
              <w:rPr>
                <w:rFonts w:ascii="Times New Roman" w:hAnsi="Times New Roman"/>
                <w:sz w:val="20"/>
                <w:szCs w:val="20"/>
              </w:rPr>
              <w:t>244</w:t>
            </w:r>
            <w:r w:rsidRPr="003E0437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  <w:p w:rsidR="0071568E" w:rsidRPr="003E0437" w:rsidRDefault="0071568E" w:rsidP="008A2DAF">
            <w:pPr>
              <w:spacing w:after="0" w:line="240" w:lineRule="auto"/>
              <w:ind w:left="122" w:right="129"/>
              <w:rPr>
                <w:rFonts w:ascii="Times New Roman" w:hAnsi="Times New Roman"/>
                <w:sz w:val="20"/>
                <w:szCs w:val="20"/>
              </w:rPr>
            </w:pPr>
            <w:r w:rsidRPr="003E0437">
              <w:rPr>
                <w:rFonts w:ascii="Times New Roman" w:hAnsi="Times New Roman"/>
                <w:sz w:val="20"/>
                <w:szCs w:val="20"/>
              </w:rPr>
              <w:t xml:space="preserve">на сумму </w:t>
            </w:r>
            <w:r w:rsidR="00D47766">
              <w:rPr>
                <w:rFonts w:ascii="Times New Roman" w:hAnsi="Times New Roman"/>
                <w:color w:val="000000"/>
                <w:sz w:val="20"/>
                <w:szCs w:val="20"/>
              </w:rPr>
              <w:t>272 115,00</w:t>
            </w:r>
            <w:r w:rsidR="00D477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23AE3" w:rsidRPr="003E0437">
              <w:rPr>
                <w:rFonts w:ascii="Times New Roman" w:hAnsi="Times New Roman"/>
                <w:sz w:val="20"/>
                <w:szCs w:val="20"/>
                <w:highlight w:val="yellow"/>
              </w:rPr>
              <w:t>руб</w:t>
            </w:r>
            <w:r w:rsidR="00123AE3" w:rsidRPr="003E04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9205DB" w:rsidRPr="00271CA1" w:rsidRDefault="009205DB" w:rsidP="009205DB">
      <w:pPr>
        <w:pStyle w:val="a4"/>
        <w:spacing w:after="0"/>
        <w:jc w:val="right"/>
      </w:pPr>
    </w:p>
    <w:p w:rsidR="00AB371D" w:rsidRDefault="00AB371D" w:rsidP="009205DB">
      <w:pPr>
        <w:pStyle w:val="a4"/>
        <w:spacing w:after="0"/>
        <w:jc w:val="right"/>
      </w:pPr>
    </w:p>
    <w:p w:rsidR="0010635A" w:rsidRDefault="0010635A" w:rsidP="009205DB">
      <w:pPr>
        <w:pStyle w:val="a4"/>
        <w:spacing w:after="0"/>
        <w:jc w:val="right"/>
      </w:pPr>
    </w:p>
    <w:p w:rsidR="0010635A" w:rsidRDefault="0010635A" w:rsidP="009205DB">
      <w:pPr>
        <w:pStyle w:val="a4"/>
        <w:spacing w:after="0"/>
        <w:jc w:val="right"/>
      </w:pPr>
    </w:p>
    <w:p w:rsidR="00AB371D" w:rsidRDefault="00AB371D" w:rsidP="009205DB">
      <w:pPr>
        <w:pStyle w:val="a4"/>
        <w:spacing w:after="0"/>
        <w:jc w:val="right"/>
      </w:pPr>
    </w:p>
    <w:p w:rsidR="00630844" w:rsidRDefault="00630844" w:rsidP="009205DB">
      <w:pPr>
        <w:pStyle w:val="a4"/>
        <w:spacing w:after="0"/>
        <w:jc w:val="right"/>
        <w:sectPr w:rsidR="00630844" w:rsidSect="00AB37B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205DB" w:rsidRPr="00271CA1" w:rsidRDefault="009205DB" w:rsidP="009205DB">
      <w:pPr>
        <w:pStyle w:val="a4"/>
        <w:spacing w:after="0"/>
        <w:jc w:val="right"/>
      </w:pPr>
      <w:r w:rsidRPr="00271CA1">
        <w:lastRenderedPageBreak/>
        <w:t>Приложение к обоснованию</w:t>
      </w:r>
    </w:p>
    <w:p w:rsidR="009205DB" w:rsidRPr="00271CA1" w:rsidRDefault="009205DB" w:rsidP="009205DB">
      <w:pPr>
        <w:pStyle w:val="a4"/>
        <w:spacing w:after="0"/>
        <w:jc w:val="right"/>
      </w:pPr>
      <w:r w:rsidRPr="00271CA1">
        <w:t xml:space="preserve"> </w:t>
      </w:r>
    </w:p>
    <w:p w:rsidR="007F3E9F" w:rsidRPr="00271CA1" w:rsidRDefault="009205DB" w:rsidP="00271CA1">
      <w:pPr>
        <w:pStyle w:val="a4"/>
        <w:spacing w:after="0"/>
        <w:jc w:val="center"/>
        <w:rPr>
          <w:b/>
          <w:bCs/>
        </w:rPr>
      </w:pPr>
      <w:r w:rsidRPr="00271CA1">
        <w:rPr>
          <w:b/>
          <w:bCs/>
        </w:rPr>
        <w:t>Расчет начальной (максимальной) цены контракта</w:t>
      </w:r>
    </w:p>
    <w:tbl>
      <w:tblPr>
        <w:tblStyle w:val="a7"/>
        <w:tblW w:w="1406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2237"/>
        <w:gridCol w:w="1276"/>
        <w:gridCol w:w="1134"/>
        <w:gridCol w:w="2268"/>
        <w:gridCol w:w="1985"/>
        <w:gridCol w:w="1842"/>
        <w:gridCol w:w="1560"/>
        <w:gridCol w:w="1275"/>
      </w:tblGrid>
      <w:tr w:rsidR="007F3E02" w:rsidRPr="00630844" w:rsidTr="007F3E02">
        <w:trPr>
          <w:trHeight w:val="608"/>
        </w:trPr>
        <w:tc>
          <w:tcPr>
            <w:tcW w:w="486" w:type="dxa"/>
            <w:vMerge w:val="restart"/>
            <w:hideMark/>
          </w:tcPr>
          <w:p w:rsidR="007F3E02" w:rsidRPr="00630844" w:rsidRDefault="007F3E02" w:rsidP="007F3E02">
            <w:pPr>
              <w:pStyle w:val="a4"/>
              <w:spacing w:after="0"/>
              <w:rPr>
                <w:bCs/>
                <w:sz w:val="20"/>
                <w:szCs w:val="18"/>
              </w:rPr>
            </w:pPr>
            <w:r w:rsidRPr="00630844">
              <w:rPr>
                <w:bCs/>
                <w:sz w:val="20"/>
                <w:szCs w:val="18"/>
              </w:rPr>
              <w:t>№ п/п</w:t>
            </w:r>
          </w:p>
        </w:tc>
        <w:tc>
          <w:tcPr>
            <w:tcW w:w="2237" w:type="dxa"/>
            <w:vMerge w:val="restart"/>
            <w:noWrap/>
            <w:hideMark/>
          </w:tcPr>
          <w:p w:rsidR="007F3E02" w:rsidRPr="00630844" w:rsidRDefault="007F3E02" w:rsidP="007F3E02">
            <w:pPr>
              <w:pStyle w:val="a4"/>
              <w:spacing w:after="0"/>
              <w:rPr>
                <w:bCs/>
                <w:sz w:val="20"/>
                <w:szCs w:val="18"/>
              </w:rPr>
            </w:pPr>
            <w:r w:rsidRPr="00630844">
              <w:rPr>
                <w:bCs/>
                <w:sz w:val="20"/>
                <w:szCs w:val="18"/>
              </w:rPr>
              <w:t>Наименование</w:t>
            </w:r>
          </w:p>
        </w:tc>
        <w:tc>
          <w:tcPr>
            <w:tcW w:w="1276" w:type="dxa"/>
            <w:vMerge w:val="restart"/>
            <w:hideMark/>
          </w:tcPr>
          <w:p w:rsidR="007F3E02" w:rsidRPr="00C22B29" w:rsidRDefault="007F3E02" w:rsidP="007F3E02">
            <w:pPr>
              <w:pStyle w:val="a4"/>
              <w:spacing w:after="0"/>
              <w:rPr>
                <w:bCs/>
                <w:sz w:val="20"/>
                <w:szCs w:val="18"/>
              </w:rPr>
            </w:pPr>
            <w:r w:rsidRPr="00C22B29">
              <w:rPr>
                <w:bCs/>
                <w:sz w:val="20"/>
                <w:szCs w:val="18"/>
              </w:rPr>
              <w:t>Ед.</w:t>
            </w:r>
            <w:r>
              <w:rPr>
                <w:bCs/>
                <w:sz w:val="20"/>
                <w:szCs w:val="18"/>
              </w:rPr>
              <w:t xml:space="preserve"> </w:t>
            </w:r>
            <w:r w:rsidRPr="00C22B29">
              <w:rPr>
                <w:bCs/>
                <w:sz w:val="20"/>
                <w:szCs w:val="18"/>
              </w:rPr>
              <w:t>изм</w:t>
            </w:r>
            <w:r>
              <w:rPr>
                <w:bCs/>
                <w:sz w:val="20"/>
                <w:szCs w:val="18"/>
              </w:rPr>
              <w:t>.</w:t>
            </w:r>
          </w:p>
        </w:tc>
        <w:tc>
          <w:tcPr>
            <w:tcW w:w="1134" w:type="dxa"/>
            <w:vMerge w:val="restart"/>
            <w:hideMark/>
          </w:tcPr>
          <w:p w:rsidR="007F3E02" w:rsidRPr="00C22B29" w:rsidRDefault="007F3E02" w:rsidP="007F3E02">
            <w:pPr>
              <w:pStyle w:val="a4"/>
              <w:spacing w:after="0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Кол-во</w:t>
            </w:r>
          </w:p>
        </w:tc>
        <w:tc>
          <w:tcPr>
            <w:tcW w:w="2268" w:type="dxa"/>
            <w:vMerge w:val="restart"/>
            <w:hideMark/>
          </w:tcPr>
          <w:p w:rsidR="007F3E02" w:rsidRPr="00630844" w:rsidRDefault="007F3E02" w:rsidP="007F3E02">
            <w:pPr>
              <w:pStyle w:val="a4"/>
              <w:spacing w:after="0"/>
              <w:rPr>
                <w:bCs/>
                <w:sz w:val="20"/>
                <w:szCs w:val="18"/>
              </w:rPr>
            </w:pPr>
            <w:r w:rsidRPr="00630844">
              <w:rPr>
                <w:bCs/>
                <w:sz w:val="20"/>
                <w:szCs w:val="18"/>
              </w:rPr>
              <w:t xml:space="preserve">Ком. предложение  №1 </w:t>
            </w:r>
          </w:p>
        </w:tc>
        <w:tc>
          <w:tcPr>
            <w:tcW w:w="1985" w:type="dxa"/>
            <w:vMerge w:val="restart"/>
            <w:hideMark/>
          </w:tcPr>
          <w:p w:rsidR="007F3E02" w:rsidRPr="00630844" w:rsidRDefault="007F3E02" w:rsidP="007F3E02">
            <w:pPr>
              <w:pStyle w:val="a4"/>
              <w:spacing w:after="0"/>
              <w:rPr>
                <w:bCs/>
                <w:sz w:val="20"/>
                <w:szCs w:val="18"/>
              </w:rPr>
            </w:pPr>
            <w:r w:rsidRPr="00630844">
              <w:rPr>
                <w:bCs/>
                <w:sz w:val="20"/>
                <w:szCs w:val="18"/>
              </w:rPr>
              <w:t xml:space="preserve">Ком. предложение  №2 </w:t>
            </w:r>
          </w:p>
        </w:tc>
        <w:tc>
          <w:tcPr>
            <w:tcW w:w="1842" w:type="dxa"/>
            <w:vMerge w:val="restart"/>
            <w:hideMark/>
          </w:tcPr>
          <w:p w:rsidR="007F3E02" w:rsidRPr="00630844" w:rsidRDefault="007F3E02" w:rsidP="007F3E02">
            <w:pPr>
              <w:pStyle w:val="a4"/>
              <w:spacing w:after="0"/>
              <w:rPr>
                <w:bCs/>
                <w:sz w:val="20"/>
                <w:szCs w:val="18"/>
              </w:rPr>
            </w:pPr>
            <w:r w:rsidRPr="00630844">
              <w:rPr>
                <w:bCs/>
                <w:sz w:val="20"/>
                <w:szCs w:val="18"/>
              </w:rPr>
              <w:t xml:space="preserve">Ком. предложение  №3 </w:t>
            </w:r>
          </w:p>
        </w:tc>
        <w:tc>
          <w:tcPr>
            <w:tcW w:w="1560" w:type="dxa"/>
            <w:vMerge w:val="restart"/>
            <w:noWrap/>
            <w:hideMark/>
          </w:tcPr>
          <w:p w:rsidR="007F3E02" w:rsidRPr="00630844" w:rsidRDefault="007F3E02" w:rsidP="007F3E02">
            <w:pPr>
              <w:pStyle w:val="a4"/>
              <w:spacing w:after="0"/>
              <w:jc w:val="center"/>
              <w:rPr>
                <w:bCs/>
                <w:sz w:val="20"/>
                <w:szCs w:val="18"/>
              </w:rPr>
            </w:pPr>
            <w:r w:rsidRPr="00630844">
              <w:rPr>
                <w:bCs/>
                <w:noProof/>
                <w:sz w:val="20"/>
                <w:szCs w:val="18"/>
                <w:lang w:eastAsia="ru-RU"/>
              </w:rPr>
              <w:drawing>
                <wp:anchor distT="0" distB="0" distL="114300" distR="114300" simplePos="0" relativeHeight="251688960" behindDoc="0" locked="0" layoutInCell="1" allowOverlap="1" wp14:anchorId="16BB0527" wp14:editId="1FC179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409575</wp:posOffset>
                  </wp:positionV>
                  <wp:extent cx="0" cy="0"/>
                  <wp:effectExtent l="0" t="635" r="1270" b="635"/>
                  <wp:wrapNone/>
                  <wp:docPr id="20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0844">
              <w:rPr>
                <w:bCs/>
                <w:noProof/>
                <w:sz w:val="20"/>
                <w:szCs w:val="18"/>
                <w:lang w:eastAsia="ru-RU"/>
              </w:rPr>
              <w:drawing>
                <wp:anchor distT="0" distB="0" distL="114300" distR="114300" simplePos="0" relativeHeight="251689984" behindDoc="0" locked="0" layoutInCell="1" allowOverlap="1" wp14:anchorId="5C5BC5F3" wp14:editId="47C5F1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400050</wp:posOffset>
                  </wp:positionV>
                  <wp:extent cx="0" cy="323850"/>
                  <wp:effectExtent l="0" t="0" r="1270" b="0"/>
                  <wp:wrapNone/>
                  <wp:docPr id="21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sz w:val="20"/>
                <w:szCs w:val="18"/>
              </w:rPr>
              <w:t xml:space="preserve"> Цена за</w:t>
            </w:r>
            <w:r w:rsidRPr="00630844">
              <w:rPr>
                <w:bCs/>
                <w:sz w:val="20"/>
                <w:szCs w:val="18"/>
              </w:rPr>
              <w:t xml:space="preserve"> ед. изм., с учетом округления</w:t>
            </w:r>
          </w:p>
          <w:p w:rsidR="007F3E02" w:rsidRPr="00630844" w:rsidRDefault="007F3E02" w:rsidP="007F3E02">
            <w:pPr>
              <w:pStyle w:val="a4"/>
              <w:spacing w:after="0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1275" w:type="dxa"/>
            <w:vMerge w:val="restart"/>
            <w:hideMark/>
          </w:tcPr>
          <w:p w:rsidR="007F3E02" w:rsidRPr="00630844" w:rsidRDefault="007F3E02" w:rsidP="007F3E02">
            <w:pPr>
              <w:pStyle w:val="a4"/>
              <w:spacing w:after="0"/>
              <w:ind w:right="-31"/>
              <w:rPr>
                <w:bCs/>
                <w:sz w:val="20"/>
                <w:szCs w:val="18"/>
              </w:rPr>
            </w:pPr>
            <w:r w:rsidRPr="00630844">
              <w:rPr>
                <w:bCs/>
                <w:sz w:val="20"/>
                <w:szCs w:val="18"/>
              </w:rPr>
              <w:t xml:space="preserve">НМЦК </w:t>
            </w:r>
            <w:proofErr w:type="spellStart"/>
            <w:r w:rsidRPr="00630844">
              <w:rPr>
                <w:bCs/>
                <w:sz w:val="20"/>
                <w:szCs w:val="18"/>
              </w:rPr>
              <w:t>рын</w:t>
            </w:r>
            <w:proofErr w:type="spellEnd"/>
            <w:r w:rsidRPr="00630844">
              <w:rPr>
                <w:bCs/>
                <w:sz w:val="20"/>
                <w:szCs w:val="18"/>
              </w:rPr>
              <w:t xml:space="preserve">   </w:t>
            </w:r>
          </w:p>
        </w:tc>
      </w:tr>
      <w:tr w:rsidR="007F3E02" w:rsidRPr="00630844" w:rsidTr="007F3E02">
        <w:trPr>
          <w:trHeight w:val="2264"/>
        </w:trPr>
        <w:tc>
          <w:tcPr>
            <w:tcW w:w="486" w:type="dxa"/>
            <w:vMerge/>
            <w:hideMark/>
          </w:tcPr>
          <w:p w:rsidR="007F3E02" w:rsidRPr="00630844" w:rsidRDefault="007F3E02" w:rsidP="007F3E02">
            <w:pPr>
              <w:pStyle w:val="a4"/>
              <w:spacing w:after="0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2237" w:type="dxa"/>
            <w:vMerge/>
            <w:hideMark/>
          </w:tcPr>
          <w:p w:rsidR="007F3E02" w:rsidRPr="00630844" w:rsidRDefault="007F3E02" w:rsidP="007F3E02">
            <w:pPr>
              <w:pStyle w:val="a4"/>
              <w:spacing w:after="0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F3E02" w:rsidRPr="00630844" w:rsidRDefault="007F3E02" w:rsidP="007F3E02">
            <w:pPr>
              <w:pStyle w:val="a4"/>
              <w:spacing w:after="0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7F3E02" w:rsidRPr="00C22B29" w:rsidRDefault="007F3E02" w:rsidP="007F3E02">
            <w:pPr>
              <w:pStyle w:val="a4"/>
              <w:spacing w:after="0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7F3E02" w:rsidRPr="00630844" w:rsidRDefault="007F3E02" w:rsidP="007F3E02">
            <w:pPr>
              <w:pStyle w:val="a4"/>
              <w:spacing w:after="0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1985" w:type="dxa"/>
            <w:vMerge/>
            <w:hideMark/>
          </w:tcPr>
          <w:p w:rsidR="007F3E02" w:rsidRPr="00630844" w:rsidRDefault="007F3E02" w:rsidP="007F3E02">
            <w:pPr>
              <w:pStyle w:val="a4"/>
              <w:spacing w:after="0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7F3E02" w:rsidRPr="00630844" w:rsidRDefault="007F3E02" w:rsidP="007F3E02">
            <w:pPr>
              <w:pStyle w:val="a4"/>
              <w:spacing w:after="0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1560" w:type="dxa"/>
            <w:vMerge/>
            <w:hideMark/>
          </w:tcPr>
          <w:p w:rsidR="007F3E02" w:rsidRPr="00630844" w:rsidRDefault="007F3E02" w:rsidP="007F3E02">
            <w:pPr>
              <w:pStyle w:val="a4"/>
              <w:spacing w:after="0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7F3E02" w:rsidRPr="00630844" w:rsidRDefault="007F3E02" w:rsidP="007F3E02">
            <w:pPr>
              <w:pStyle w:val="a4"/>
              <w:spacing w:after="0"/>
              <w:jc w:val="center"/>
              <w:rPr>
                <w:bCs/>
                <w:sz w:val="20"/>
                <w:szCs w:val="18"/>
              </w:rPr>
            </w:pPr>
          </w:p>
        </w:tc>
      </w:tr>
      <w:tr w:rsidR="007F3E02" w:rsidRPr="00630844" w:rsidTr="007F3E02">
        <w:trPr>
          <w:trHeight w:val="289"/>
        </w:trPr>
        <w:tc>
          <w:tcPr>
            <w:tcW w:w="486" w:type="dxa"/>
            <w:hideMark/>
          </w:tcPr>
          <w:p w:rsidR="007F3E02" w:rsidRPr="00630844" w:rsidRDefault="007F3E02" w:rsidP="007F3E02">
            <w:pPr>
              <w:pStyle w:val="a4"/>
              <w:spacing w:after="0"/>
              <w:rPr>
                <w:bCs/>
                <w:sz w:val="20"/>
                <w:szCs w:val="18"/>
              </w:rPr>
            </w:pPr>
            <w:r w:rsidRPr="00630844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2237" w:type="dxa"/>
            <w:vAlign w:val="center"/>
          </w:tcPr>
          <w:p w:rsidR="007F3E02" w:rsidRPr="0082331A" w:rsidRDefault="007F3E02" w:rsidP="007F3E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Ламбрекен</w:t>
            </w:r>
          </w:p>
        </w:tc>
        <w:tc>
          <w:tcPr>
            <w:tcW w:w="1276" w:type="dxa"/>
            <w:vAlign w:val="center"/>
          </w:tcPr>
          <w:p w:rsidR="007F3E02" w:rsidRPr="007F3E02" w:rsidRDefault="007F3E02" w:rsidP="007F3E0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E02">
              <w:rPr>
                <w:rFonts w:ascii="Times New Roman" w:hAnsi="Times New Roman"/>
                <w:bCs/>
                <w:sz w:val="20"/>
                <w:szCs w:val="20"/>
              </w:rPr>
              <w:t>шт</w:t>
            </w:r>
          </w:p>
        </w:tc>
        <w:tc>
          <w:tcPr>
            <w:tcW w:w="1134" w:type="dxa"/>
            <w:vAlign w:val="center"/>
          </w:tcPr>
          <w:p w:rsidR="007F3E02" w:rsidRPr="00C22B29" w:rsidRDefault="007F3E02" w:rsidP="007F3E0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7F3E02" w:rsidRPr="0082331A" w:rsidRDefault="007F3E02" w:rsidP="007F3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25 220,00</w:t>
            </w:r>
          </w:p>
        </w:tc>
        <w:tc>
          <w:tcPr>
            <w:tcW w:w="1985" w:type="dxa"/>
            <w:vAlign w:val="center"/>
          </w:tcPr>
          <w:p w:rsidR="007F3E02" w:rsidRPr="0082331A" w:rsidRDefault="007F3E02" w:rsidP="007F3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1842" w:type="dxa"/>
            <w:vAlign w:val="center"/>
          </w:tcPr>
          <w:p w:rsidR="007F3E02" w:rsidRPr="0082331A" w:rsidRDefault="007F3E02" w:rsidP="007F3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19 568,00</w:t>
            </w:r>
          </w:p>
        </w:tc>
        <w:tc>
          <w:tcPr>
            <w:tcW w:w="1560" w:type="dxa"/>
            <w:vAlign w:val="center"/>
          </w:tcPr>
          <w:p w:rsidR="007F3E02" w:rsidRPr="0082331A" w:rsidRDefault="007F3E02" w:rsidP="007F3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21 596,00</w:t>
            </w:r>
          </w:p>
        </w:tc>
        <w:tc>
          <w:tcPr>
            <w:tcW w:w="1275" w:type="dxa"/>
            <w:vAlign w:val="center"/>
          </w:tcPr>
          <w:p w:rsidR="007F3E02" w:rsidRPr="0082331A" w:rsidRDefault="007F3E02" w:rsidP="007F3E0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21 596,00</w:t>
            </w:r>
          </w:p>
        </w:tc>
      </w:tr>
      <w:tr w:rsidR="007F3E02" w:rsidRPr="00630844" w:rsidTr="007F3E02">
        <w:trPr>
          <w:trHeight w:val="422"/>
        </w:trPr>
        <w:tc>
          <w:tcPr>
            <w:tcW w:w="486" w:type="dxa"/>
            <w:hideMark/>
          </w:tcPr>
          <w:p w:rsidR="007F3E02" w:rsidRPr="00630844" w:rsidRDefault="007F3E02" w:rsidP="007F3E02">
            <w:pPr>
              <w:pStyle w:val="a4"/>
              <w:spacing w:after="0"/>
              <w:rPr>
                <w:bCs/>
                <w:sz w:val="20"/>
                <w:szCs w:val="18"/>
              </w:rPr>
            </w:pPr>
            <w:r w:rsidRPr="00630844">
              <w:rPr>
                <w:bCs/>
                <w:sz w:val="20"/>
                <w:szCs w:val="18"/>
              </w:rPr>
              <w:t>2</w:t>
            </w:r>
          </w:p>
        </w:tc>
        <w:tc>
          <w:tcPr>
            <w:tcW w:w="2237" w:type="dxa"/>
            <w:vAlign w:val="center"/>
          </w:tcPr>
          <w:p w:rsidR="007F3E02" w:rsidRPr="0082331A" w:rsidRDefault="007F3E02" w:rsidP="007F3E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Рабочая портьера</w:t>
            </w:r>
          </w:p>
        </w:tc>
        <w:tc>
          <w:tcPr>
            <w:tcW w:w="1276" w:type="dxa"/>
          </w:tcPr>
          <w:p w:rsidR="007F3E02" w:rsidRDefault="007F3E02" w:rsidP="007F3E02">
            <w:pPr>
              <w:jc w:val="center"/>
            </w:pPr>
            <w:r w:rsidRPr="004C3258">
              <w:rPr>
                <w:rFonts w:ascii="Times New Roman" w:hAnsi="Times New Roman"/>
                <w:bCs/>
                <w:sz w:val="20"/>
                <w:szCs w:val="20"/>
              </w:rPr>
              <w:t>шт</w:t>
            </w:r>
          </w:p>
        </w:tc>
        <w:tc>
          <w:tcPr>
            <w:tcW w:w="1134" w:type="dxa"/>
            <w:vAlign w:val="center"/>
          </w:tcPr>
          <w:p w:rsidR="007F3E02" w:rsidRPr="00C22B29" w:rsidRDefault="007F3E02" w:rsidP="007F3E0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7F3E02" w:rsidRPr="0082331A" w:rsidRDefault="007F3E02" w:rsidP="007F3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35 595,00</w:t>
            </w:r>
          </w:p>
        </w:tc>
        <w:tc>
          <w:tcPr>
            <w:tcW w:w="1985" w:type="dxa"/>
            <w:vAlign w:val="center"/>
          </w:tcPr>
          <w:p w:rsidR="007F3E02" w:rsidRPr="0082331A" w:rsidRDefault="007F3E02" w:rsidP="007F3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1842" w:type="dxa"/>
            <w:vAlign w:val="center"/>
          </w:tcPr>
          <w:p w:rsidR="007F3E02" w:rsidRPr="0082331A" w:rsidRDefault="007F3E02" w:rsidP="007F3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48 216,00</w:t>
            </w:r>
          </w:p>
        </w:tc>
        <w:tc>
          <w:tcPr>
            <w:tcW w:w="1560" w:type="dxa"/>
            <w:vAlign w:val="center"/>
          </w:tcPr>
          <w:p w:rsidR="007F3E02" w:rsidRPr="0082331A" w:rsidRDefault="007F3E02" w:rsidP="007F3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37 937,00</w:t>
            </w:r>
          </w:p>
        </w:tc>
        <w:tc>
          <w:tcPr>
            <w:tcW w:w="1275" w:type="dxa"/>
            <w:vAlign w:val="center"/>
          </w:tcPr>
          <w:p w:rsidR="007F3E02" w:rsidRPr="0082331A" w:rsidRDefault="007F3E02" w:rsidP="007F3E0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75 874,00</w:t>
            </w:r>
          </w:p>
        </w:tc>
      </w:tr>
      <w:tr w:rsidR="007F3E02" w:rsidRPr="00630844" w:rsidTr="007F3E02">
        <w:trPr>
          <w:trHeight w:val="422"/>
        </w:trPr>
        <w:tc>
          <w:tcPr>
            <w:tcW w:w="486" w:type="dxa"/>
          </w:tcPr>
          <w:p w:rsidR="007F3E02" w:rsidRPr="00630844" w:rsidRDefault="007F3E02" w:rsidP="007F3E02">
            <w:pPr>
              <w:pStyle w:val="a4"/>
              <w:spacing w:after="0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3</w:t>
            </w:r>
          </w:p>
        </w:tc>
        <w:tc>
          <w:tcPr>
            <w:tcW w:w="2237" w:type="dxa"/>
            <w:vAlign w:val="center"/>
          </w:tcPr>
          <w:p w:rsidR="007F3E02" w:rsidRPr="0082331A" w:rsidRDefault="007F3E02" w:rsidP="007F3E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Кулиса</w:t>
            </w:r>
          </w:p>
        </w:tc>
        <w:tc>
          <w:tcPr>
            <w:tcW w:w="1276" w:type="dxa"/>
          </w:tcPr>
          <w:p w:rsidR="007F3E02" w:rsidRDefault="007F3E02" w:rsidP="007F3E02">
            <w:pPr>
              <w:jc w:val="center"/>
            </w:pPr>
            <w:r w:rsidRPr="004C3258">
              <w:rPr>
                <w:rFonts w:ascii="Times New Roman" w:hAnsi="Times New Roman"/>
                <w:bCs/>
                <w:sz w:val="20"/>
                <w:szCs w:val="20"/>
              </w:rPr>
              <w:t>шт</w:t>
            </w:r>
          </w:p>
        </w:tc>
        <w:tc>
          <w:tcPr>
            <w:tcW w:w="1134" w:type="dxa"/>
            <w:vAlign w:val="center"/>
          </w:tcPr>
          <w:p w:rsidR="007F3E02" w:rsidRDefault="007F3E02" w:rsidP="007F3E0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7F3E02" w:rsidRPr="0082331A" w:rsidRDefault="007F3E02" w:rsidP="007F3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23 710,00</w:t>
            </w:r>
          </w:p>
        </w:tc>
        <w:tc>
          <w:tcPr>
            <w:tcW w:w="1985" w:type="dxa"/>
            <w:vAlign w:val="center"/>
          </w:tcPr>
          <w:p w:rsidR="007F3E02" w:rsidRPr="0082331A" w:rsidRDefault="007F3E02" w:rsidP="007F3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36 500,00</w:t>
            </w:r>
          </w:p>
        </w:tc>
        <w:tc>
          <w:tcPr>
            <w:tcW w:w="1842" w:type="dxa"/>
            <w:vAlign w:val="center"/>
          </w:tcPr>
          <w:p w:rsidR="007F3E02" w:rsidRPr="0082331A" w:rsidRDefault="007F3E02" w:rsidP="007F3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16 126,00</w:t>
            </w:r>
          </w:p>
        </w:tc>
        <w:tc>
          <w:tcPr>
            <w:tcW w:w="1560" w:type="dxa"/>
            <w:vAlign w:val="center"/>
          </w:tcPr>
          <w:p w:rsidR="007F3E02" w:rsidRPr="0082331A" w:rsidRDefault="007F3E02" w:rsidP="007F3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25 445,00</w:t>
            </w:r>
          </w:p>
        </w:tc>
        <w:tc>
          <w:tcPr>
            <w:tcW w:w="1275" w:type="dxa"/>
            <w:vAlign w:val="center"/>
          </w:tcPr>
          <w:p w:rsidR="007F3E02" w:rsidRPr="0082331A" w:rsidRDefault="007F3E02" w:rsidP="007F3E0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50 890,00</w:t>
            </w:r>
          </w:p>
        </w:tc>
      </w:tr>
      <w:tr w:rsidR="007F3E02" w:rsidRPr="00630844" w:rsidTr="007F3E02">
        <w:trPr>
          <w:trHeight w:val="422"/>
        </w:trPr>
        <w:tc>
          <w:tcPr>
            <w:tcW w:w="486" w:type="dxa"/>
          </w:tcPr>
          <w:p w:rsidR="007F3E02" w:rsidRPr="00630844" w:rsidRDefault="007F3E02" w:rsidP="007F3E02">
            <w:pPr>
              <w:pStyle w:val="a4"/>
              <w:spacing w:after="0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4</w:t>
            </w:r>
          </w:p>
        </w:tc>
        <w:tc>
          <w:tcPr>
            <w:tcW w:w="2237" w:type="dxa"/>
            <w:vAlign w:val="center"/>
          </w:tcPr>
          <w:p w:rsidR="007F3E02" w:rsidRPr="0082331A" w:rsidRDefault="007F3E02" w:rsidP="007F3E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Задник</w:t>
            </w:r>
          </w:p>
        </w:tc>
        <w:tc>
          <w:tcPr>
            <w:tcW w:w="1276" w:type="dxa"/>
          </w:tcPr>
          <w:p w:rsidR="007F3E02" w:rsidRDefault="007F3E02" w:rsidP="007F3E02">
            <w:pPr>
              <w:jc w:val="center"/>
            </w:pPr>
            <w:r w:rsidRPr="004C3258">
              <w:rPr>
                <w:rFonts w:ascii="Times New Roman" w:hAnsi="Times New Roman"/>
                <w:bCs/>
                <w:sz w:val="20"/>
                <w:szCs w:val="20"/>
              </w:rPr>
              <w:t>шт</w:t>
            </w:r>
          </w:p>
        </w:tc>
        <w:tc>
          <w:tcPr>
            <w:tcW w:w="1134" w:type="dxa"/>
            <w:vAlign w:val="center"/>
          </w:tcPr>
          <w:p w:rsidR="007F3E02" w:rsidRDefault="007F3E02" w:rsidP="007F3E0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7F3E02" w:rsidRPr="0082331A" w:rsidRDefault="007F3E02" w:rsidP="007F3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108 720,00</w:t>
            </w:r>
          </w:p>
        </w:tc>
        <w:tc>
          <w:tcPr>
            <w:tcW w:w="1985" w:type="dxa"/>
            <w:vAlign w:val="center"/>
          </w:tcPr>
          <w:p w:rsidR="007F3E02" w:rsidRPr="0082331A" w:rsidRDefault="007F3E02" w:rsidP="007F3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131 800,00</w:t>
            </w:r>
          </w:p>
        </w:tc>
        <w:tc>
          <w:tcPr>
            <w:tcW w:w="1842" w:type="dxa"/>
            <w:vAlign w:val="center"/>
          </w:tcPr>
          <w:p w:rsidR="007F3E02" w:rsidRPr="0082331A" w:rsidRDefault="007F3E02" w:rsidP="007F3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80 627,00</w:t>
            </w:r>
          </w:p>
        </w:tc>
        <w:tc>
          <w:tcPr>
            <w:tcW w:w="1560" w:type="dxa"/>
            <w:vAlign w:val="center"/>
          </w:tcPr>
          <w:p w:rsidR="007F3E02" w:rsidRPr="0082331A" w:rsidRDefault="007F3E02" w:rsidP="007F3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107 049,00</w:t>
            </w:r>
          </w:p>
        </w:tc>
        <w:tc>
          <w:tcPr>
            <w:tcW w:w="1275" w:type="dxa"/>
            <w:vAlign w:val="center"/>
          </w:tcPr>
          <w:p w:rsidR="007F3E02" w:rsidRPr="0082331A" w:rsidRDefault="007F3E02" w:rsidP="007F3E0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107 049,00</w:t>
            </w:r>
          </w:p>
        </w:tc>
      </w:tr>
      <w:tr w:rsidR="007F3E02" w:rsidRPr="00630844" w:rsidTr="007F3E02">
        <w:trPr>
          <w:trHeight w:val="422"/>
        </w:trPr>
        <w:tc>
          <w:tcPr>
            <w:tcW w:w="486" w:type="dxa"/>
          </w:tcPr>
          <w:p w:rsidR="007F3E02" w:rsidRDefault="007F3E02" w:rsidP="007F3E02">
            <w:pPr>
              <w:pStyle w:val="a4"/>
              <w:spacing w:after="0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5</w:t>
            </w:r>
          </w:p>
        </w:tc>
        <w:tc>
          <w:tcPr>
            <w:tcW w:w="2237" w:type="dxa"/>
            <w:vAlign w:val="center"/>
          </w:tcPr>
          <w:p w:rsidR="007F3E02" w:rsidRDefault="007F3E02" w:rsidP="007F3E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Портьера</w:t>
            </w:r>
          </w:p>
        </w:tc>
        <w:tc>
          <w:tcPr>
            <w:tcW w:w="1276" w:type="dxa"/>
          </w:tcPr>
          <w:p w:rsidR="007F3E02" w:rsidRDefault="007F3E02" w:rsidP="007F3E02">
            <w:pPr>
              <w:jc w:val="center"/>
            </w:pPr>
            <w:r w:rsidRPr="004C3258">
              <w:rPr>
                <w:rFonts w:ascii="Times New Roman" w:hAnsi="Times New Roman"/>
                <w:bCs/>
                <w:sz w:val="20"/>
                <w:szCs w:val="20"/>
              </w:rPr>
              <w:t>шт</w:t>
            </w:r>
          </w:p>
        </w:tc>
        <w:tc>
          <w:tcPr>
            <w:tcW w:w="1134" w:type="dxa"/>
            <w:vAlign w:val="center"/>
          </w:tcPr>
          <w:p w:rsidR="007F3E02" w:rsidRDefault="007F3E02" w:rsidP="007F3E0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7F3E02" w:rsidRDefault="007F3E02" w:rsidP="007F3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8 880,00</w:t>
            </w:r>
          </w:p>
        </w:tc>
        <w:tc>
          <w:tcPr>
            <w:tcW w:w="1985" w:type="dxa"/>
            <w:vAlign w:val="center"/>
          </w:tcPr>
          <w:p w:rsidR="007F3E02" w:rsidRDefault="007F3E02" w:rsidP="007F3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7 600,00</w:t>
            </w:r>
          </w:p>
        </w:tc>
        <w:tc>
          <w:tcPr>
            <w:tcW w:w="1842" w:type="dxa"/>
            <w:vAlign w:val="center"/>
          </w:tcPr>
          <w:p w:rsidR="007F3E02" w:rsidRDefault="007F3E02" w:rsidP="007F3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8 580,00</w:t>
            </w:r>
          </w:p>
        </w:tc>
        <w:tc>
          <w:tcPr>
            <w:tcW w:w="1560" w:type="dxa"/>
            <w:vAlign w:val="center"/>
          </w:tcPr>
          <w:p w:rsidR="007F3E02" w:rsidRDefault="007F3E02" w:rsidP="007F3E0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8 353,00</w:t>
            </w:r>
          </w:p>
        </w:tc>
        <w:tc>
          <w:tcPr>
            <w:tcW w:w="1275" w:type="dxa"/>
            <w:vAlign w:val="center"/>
          </w:tcPr>
          <w:p w:rsidR="007F3E02" w:rsidRDefault="007F3E02" w:rsidP="007F3E0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16 706,00</w:t>
            </w:r>
          </w:p>
        </w:tc>
      </w:tr>
      <w:tr w:rsidR="00D47766" w:rsidRPr="00630844" w:rsidTr="00DB560F">
        <w:trPr>
          <w:trHeight w:val="422"/>
        </w:trPr>
        <w:tc>
          <w:tcPr>
            <w:tcW w:w="12788" w:type="dxa"/>
            <w:gridSpan w:val="8"/>
          </w:tcPr>
          <w:p w:rsidR="00D47766" w:rsidRDefault="00D47766" w:rsidP="00D477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75" w:type="dxa"/>
            <w:vAlign w:val="center"/>
          </w:tcPr>
          <w:p w:rsidR="00D47766" w:rsidRDefault="00D47766" w:rsidP="00D4776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272 115,00</w:t>
            </w:r>
          </w:p>
        </w:tc>
      </w:tr>
    </w:tbl>
    <w:p w:rsidR="00630844" w:rsidRPr="00CE2CB4" w:rsidRDefault="00630844" w:rsidP="00630844">
      <w:pPr>
        <w:shd w:val="clear" w:color="auto" w:fill="FFFFFF"/>
        <w:tabs>
          <w:tab w:val="left" w:pos="10829"/>
        </w:tabs>
        <w:spacing w:after="0" w:line="240" w:lineRule="auto"/>
        <w:rPr>
          <w:rFonts w:ascii="Times New Roman" w:hAnsi="Times New Roman"/>
          <w:color w:val="000000"/>
        </w:rPr>
      </w:pPr>
      <w:r w:rsidRPr="00CE2CB4">
        <w:rPr>
          <w:rFonts w:ascii="Times New Roman" w:hAnsi="Times New Roman"/>
          <w:color w:val="000000"/>
        </w:rPr>
        <w:t>где:</w:t>
      </w:r>
      <w:r w:rsidRPr="00CE2CB4">
        <w:rPr>
          <w:rFonts w:ascii="Times New Roman" w:hAnsi="Times New Roman"/>
          <w:color w:val="000000"/>
        </w:rPr>
        <w:tab/>
      </w:r>
    </w:p>
    <w:p w:rsidR="00630844" w:rsidRPr="00CE2CB4" w:rsidRDefault="00630844" w:rsidP="00630844">
      <w:pPr>
        <w:shd w:val="clear" w:color="auto" w:fill="FFFFFF"/>
        <w:spacing w:before="210" w:after="0" w:line="240" w:lineRule="auto"/>
        <w:rPr>
          <w:rFonts w:ascii="Times New Roman" w:hAnsi="Times New Roman"/>
          <w:color w:val="000000"/>
        </w:rPr>
      </w:pPr>
      <w:proofErr w:type="spellStart"/>
      <w:r w:rsidRPr="00CE2CB4">
        <w:rPr>
          <w:rFonts w:ascii="Times New Roman" w:hAnsi="Times New Roman"/>
        </w:rPr>
        <w:t>НМЦКрын</w:t>
      </w:r>
      <w:proofErr w:type="spellEnd"/>
      <w:r w:rsidRPr="00CE2CB4">
        <w:rPr>
          <w:rFonts w:ascii="Times New Roman" w:hAnsi="Times New Roman"/>
          <w:color w:val="000000"/>
        </w:rPr>
        <w:t xml:space="preserve"> - НМЦК, определяемая методом сопоставимых рыночных цен (анализа рынка);</w:t>
      </w:r>
    </w:p>
    <w:p w:rsidR="00630844" w:rsidRPr="00CE2CB4" w:rsidRDefault="00630844" w:rsidP="00630844">
      <w:pPr>
        <w:shd w:val="clear" w:color="auto" w:fill="FFFFFF"/>
        <w:spacing w:before="210" w:after="0" w:line="240" w:lineRule="auto"/>
        <w:rPr>
          <w:rFonts w:ascii="Times New Roman" w:hAnsi="Times New Roman"/>
          <w:color w:val="000000"/>
        </w:rPr>
      </w:pPr>
      <w:r w:rsidRPr="00CE2CB4">
        <w:rPr>
          <w:rFonts w:ascii="Times New Roman" w:hAnsi="Times New Roman"/>
          <w:color w:val="000000"/>
        </w:rPr>
        <w:t>v - количество (объем) закупаемого товара (работы, услуги);</w:t>
      </w:r>
    </w:p>
    <w:p w:rsidR="00630844" w:rsidRPr="00CE2CB4" w:rsidRDefault="00630844" w:rsidP="00630844">
      <w:pPr>
        <w:shd w:val="clear" w:color="auto" w:fill="FFFFFF"/>
        <w:spacing w:before="210" w:after="0" w:line="240" w:lineRule="auto"/>
        <w:rPr>
          <w:rFonts w:ascii="Times New Roman" w:hAnsi="Times New Roman"/>
          <w:color w:val="000000"/>
        </w:rPr>
      </w:pPr>
      <w:r w:rsidRPr="00CE2CB4">
        <w:rPr>
          <w:rFonts w:ascii="Times New Roman" w:hAnsi="Times New Roman"/>
          <w:color w:val="000000"/>
        </w:rPr>
        <w:t>n - количество значений, используемых в расчете;</w:t>
      </w:r>
    </w:p>
    <w:p w:rsidR="00630844" w:rsidRPr="00CE2CB4" w:rsidRDefault="00630844" w:rsidP="00630844">
      <w:pPr>
        <w:shd w:val="clear" w:color="auto" w:fill="FFFFFF"/>
        <w:spacing w:before="210" w:after="0" w:line="240" w:lineRule="auto"/>
        <w:rPr>
          <w:rFonts w:ascii="Times New Roman" w:hAnsi="Times New Roman"/>
          <w:color w:val="000000"/>
        </w:rPr>
      </w:pPr>
      <w:r w:rsidRPr="00CE2CB4">
        <w:rPr>
          <w:rFonts w:ascii="Times New Roman" w:hAnsi="Times New Roman"/>
          <w:color w:val="000000"/>
        </w:rPr>
        <w:t>i - номер источника ценовой информации;</w:t>
      </w:r>
    </w:p>
    <w:p w:rsidR="00630844" w:rsidRPr="00CE2CB4" w:rsidRDefault="00630844" w:rsidP="00630844">
      <w:pPr>
        <w:shd w:val="clear" w:color="auto" w:fill="FFFFFF"/>
        <w:tabs>
          <w:tab w:val="left" w:pos="851"/>
        </w:tabs>
        <w:spacing w:before="210" w:after="0" w:line="240" w:lineRule="auto"/>
        <w:rPr>
          <w:rFonts w:ascii="Times New Roman" w:hAnsi="Times New Roman"/>
          <w:color w:val="000000"/>
        </w:rPr>
      </w:pPr>
      <w:r w:rsidRPr="00CE2CB4">
        <w:rPr>
          <w:rFonts w:ascii="Times New Roman" w:hAnsi="Times New Roman"/>
          <w:noProof/>
          <w:color w:val="000000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55880</wp:posOffset>
            </wp:positionV>
            <wp:extent cx="180975" cy="228600"/>
            <wp:effectExtent l="19050" t="0" r="0" b="0"/>
            <wp:wrapNone/>
            <wp:docPr id="2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2CB4">
        <w:rPr>
          <w:rFonts w:ascii="Times New Roman" w:hAnsi="Times New Roman"/>
          <w:color w:val="000000"/>
        </w:rPr>
        <w:t xml:space="preserve">     - цена единицы товара, работы, услуги, представленная в источнике с номером i, скорректированная с учетом коэффициентов (индексов)</w:t>
      </w:r>
    </w:p>
    <w:p w:rsidR="00630844" w:rsidRDefault="00630844" w:rsidP="00B84849">
      <w:pPr>
        <w:tabs>
          <w:tab w:val="left" w:pos="13438"/>
        </w:tabs>
        <w:spacing w:before="120" w:after="120"/>
        <w:ind w:right="-2"/>
        <w:rPr>
          <w:rFonts w:ascii="Times New Roman" w:hAnsi="Times New Roman"/>
          <w:bCs/>
          <w:sz w:val="24"/>
          <w:szCs w:val="24"/>
        </w:rPr>
      </w:pPr>
    </w:p>
    <w:sectPr w:rsidR="00630844" w:rsidSect="003E04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84"/>
    <w:rsid w:val="00007C6F"/>
    <w:rsid w:val="000145D4"/>
    <w:rsid w:val="000208DF"/>
    <w:rsid w:val="00033FCC"/>
    <w:rsid w:val="00035671"/>
    <w:rsid w:val="00044A79"/>
    <w:rsid w:val="00085435"/>
    <w:rsid w:val="000876C1"/>
    <w:rsid w:val="000A66EA"/>
    <w:rsid w:val="0010635A"/>
    <w:rsid w:val="00120D0A"/>
    <w:rsid w:val="00123AE3"/>
    <w:rsid w:val="00193FD3"/>
    <w:rsid w:val="001E4CFD"/>
    <w:rsid w:val="00214442"/>
    <w:rsid w:val="00262B85"/>
    <w:rsid w:val="00270B4C"/>
    <w:rsid w:val="00271CA1"/>
    <w:rsid w:val="00275BAB"/>
    <w:rsid w:val="00281631"/>
    <w:rsid w:val="002C4F36"/>
    <w:rsid w:val="002D4E0E"/>
    <w:rsid w:val="002F6F19"/>
    <w:rsid w:val="00303D27"/>
    <w:rsid w:val="00306726"/>
    <w:rsid w:val="003123B3"/>
    <w:rsid w:val="003129D2"/>
    <w:rsid w:val="003E0437"/>
    <w:rsid w:val="00413DD3"/>
    <w:rsid w:val="0045256A"/>
    <w:rsid w:val="004A2B9B"/>
    <w:rsid w:val="004B14BF"/>
    <w:rsid w:val="004D430C"/>
    <w:rsid w:val="004F64F4"/>
    <w:rsid w:val="005054CB"/>
    <w:rsid w:val="00547A0E"/>
    <w:rsid w:val="00571592"/>
    <w:rsid w:val="005948CC"/>
    <w:rsid w:val="005C16D8"/>
    <w:rsid w:val="005E3A7A"/>
    <w:rsid w:val="005E68EA"/>
    <w:rsid w:val="00630844"/>
    <w:rsid w:val="006562EC"/>
    <w:rsid w:val="00685849"/>
    <w:rsid w:val="00710942"/>
    <w:rsid w:val="00712F92"/>
    <w:rsid w:val="0071568E"/>
    <w:rsid w:val="007238C2"/>
    <w:rsid w:val="0072554E"/>
    <w:rsid w:val="007666E7"/>
    <w:rsid w:val="00775D31"/>
    <w:rsid w:val="00794FA4"/>
    <w:rsid w:val="007B24DE"/>
    <w:rsid w:val="007C6709"/>
    <w:rsid w:val="007E758F"/>
    <w:rsid w:val="007F2C2D"/>
    <w:rsid w:val="007F3E02"/>
    <w:rsid w:val="007F3E9F"/>
    <w:rsid w:val="007F3F0E"/>
    <w:rsid w:val="00811866"/>
    <w:rsid w:val="0082197B"/>
    <w:rsid w:val="0082331A"/>
    <w:rsid w:val="00866851"/>
    <w:rsid w:val="0087287E"/>
    <w:rsid w:val="00877851"/>
    <w:rsid w:val="008A2DAF"/>
    <w:rsid w:val="008D43B0"/>
    <w:rsid w:val="00904D84"/>
    <w:rsid w:val="009205DB"/>
    <w:rsid w:val="00970B7F"/>
    <w:rsid w:val="00977963"/>
    <w:rsid w:val="00984452"/>
    <w:rsid w:val="009941FD"/>
    <w:rsid w:val="009B1C17"/>
    <w:rsid w:val="009D453E"/>
    <w:rsid w:val="009E2429"/>
    <w:rsid w:val="009F232B"/>
    <w:rsid w:val="00A312BF"/>
    <w:rsid w:val="00A46D15"/>
    <w:rsid w:val="00AB371D"/>
    <w:rsid w:val="00AB37BB"/>
    <w:rsid w:val="00AC564F"/>
    <w:rsid w:val="00AC5A70"/>
    <w:rsid w:val="00B330B9"/>
    <w:rsid w:val="00B3464F"/>
    <w:rsid w:val="00B44373"/>
    <w:rsid w:val="00B84849"/>
    <w:rsid w:val="00BB1AE2"/>
    <w:rsid w:val="00BC046D"/>
    <w:rsid w:val="00BE3760"/>
    <w:rsid w:val="00C22B29"/>
    <w:rsid w:val="00C8232C"/>
    <w:rsid w:val="00CC1DA5"/>
    <w:rsid w:val="00CE12A0"/>
    <w:rsid w:val="00D10E85"/>
    <w:rsid w:val="00D210C8"/>
    <w:rsid w:val="00D316B2"/>
    <w:rsid w:val="00D448C1"/>
    <w:rsid w:val="00D47766"/>
    <w:rsid w:val="00D76DF5"/>
    <w:rsid w:val="00D9561B"/>
    <w:rsid w:val="00DA5955"/>
    <w:rsid w:val="00E10D4E"/>
    <w:rsid w:val="00E40B7A"/>
    <w:rsid w:val="00E816DC"/>
    <w:rsid w:val="00EA534D"/>
    <w:rsid w:val="00EA59F2"/>
    <w:rsid w:val="00EF2615"/>
    <w:rsid w:val="00EF27DF"/>
    <w:rsid w:val="00EF2EA4"/>
    <w:rsid w:val="00F07BB7"/>
    <w:rsid w:val="00F13366"/>
    <w:rsid w:val="00F23858"/>
    <w:rsid w:val="00F47CA8"/>
    <w:rsid w:val="00FA4861"/>
    <w:rsid w:val="00FD3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AB48"/>
  <w15:docId w15:val="{C62412D1-A7A9-40D8-A727-427FDC92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D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nformat">
    <w:name w:val="ConsNonformat Знак"/>
    <w:basedOn w:val="a0"/>
    <w:link w:val="ConsNonformat0"/>
    <w:locked/>
    <w:rsid w:val="00904D84"/>
    <w:rPr>
      <w:rFonts w:ascii="Courier New" w:hAnsi="Courier New" w:cs="Courier New"/>
      <w:lang w:eastAsia="ru-RU"/>
    </w:rPr>
  </w:style>
  <w:style w:type="paragraph" w:customStyle="1" w:styleId="ConsNonformat0">
    <w:name w:val="ConsNonformat"/>
    <w:link w:val="ConsNonformat"/>
    <w:rsid w:val="00904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Style8">
    <w:name w:val="Style8"/>
    <w:basedOn w:val="a"/>
    <w:uiPriority w:val="99"/>
    <w:rsid w:val="00904D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205D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styleId="a4">
    <w:name w:val="Body Text"/>
    <w:basedOn w:val="a"/>
    <w:link w:val="a5"/>
    <w:uiPriority w:val="99"/>
    <w:unhideWhenUsed/>
    <w:rsid w:val="009205DB"/>
    <w:pPr>
      <w:suppressAutoHyphens/>
      <w:spacing w:after="12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uiPriority w:val="99"/>
    <w:rsid w:val="009205D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6">
    <w:name w:val="Содержимое таблицы"/>
    <w:basedOn w:val="a"/>
    <w:uiPriority w:val="99"/>
    <w:rsid w:val="009205D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table" w:styleId="a7">
    <w:name w:val="Table Grid"/>
    <w:basedOn w:val="a1"/>
    <w:uiPriority w:val="59"/>
    <w:rsid w:val="006308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7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7C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https://login.consultant.ru/link/?req=doc&amp;base=LAW&amp;n=521077&amp;dst=8" TargetMode="External"/><Relationship Id="rId4" Type="http://schemas.openxmlformats.org/officeDocument/2006/relationships/hyperlink" Target="https://login.consultant.ru/link/?req=doc&amp;base=RZB&amp;n=499073&amp;dst=10011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 Семёновна</dc:creator>
  <cp:lastModifiedBy>usr</cp:lastModifiedBy>
  <cp:revision>5</cp:revision>
  <cp:lastPrinted>2026-06-17T12:34:00Z</cp:lastPrinted>
  <dcterms:created xsi:type="dcterms:W3CDTF">2026-02-13T15:37:00Z</dcterms:created>
  <dcterms:modified xsi:type="dcterms:W3CDTF">2026-06-17T12:34:00Z</dcterms:modified>
</cp:coreProperties>
</file>