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 xml:space="preserve">на поставку </w:t>
      </w:r>
      <w:r w:rsidR="007970C0">
        <w:rPr>
          <w:rFonts w:ascii="Times New Roman" w:hAnsi="Times New Roman" w:cs="Times New Roman"/>
          <w:b/>
          <w:sz w:val="24"/>
          <w:szCs w:val="24"/>
          <w:shd w:val="clear" w:color="auto" w:fill="FAFAFA"/>
        </w:rPr>
        <w:t>изделий медицинского назначения</w:t>
      </w:r>
      <w:r w:rsidRPr="005A7F49">
        <w:rPr>
          <w:rFonts w:ascii="Times New Roman" w:hAnsi="Times New Roman" w:cs="Times New Roman"/>
          <w:b/>
          <w:sz w:val="24"/>
          <w:szCs w:val="24"/>
          <w:shd w:val="clear" w:color="auto" w:fill="FAFAFA"/>
        </w:rPr>
        <w:t xml:space="preserve"> </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F352D">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г. Владимир</w:t>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w:t>
      </w:r>
      <w:r w:rsidR="00373BCF">
        <w:rPr>
          <w:rFonts w:ascii="Times New Roman" w:hAnsi="Times New Roman" w:cs="Times New Roman"/>
          <w:sz w:val="24"/>
          <w:szCs w:val="24"/>
        </w:rPr>
        <w:t>__</w:t>
      </w:r>
      <w:r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373BCF">
        <w:rPr>
          <w:rFonts w:ascii="Times New Roman" w:hAnsi="Times New Roman" w:cs="Times New Roman"/>
          <w:sz w:val="24"/>
          <w:szCs w:val="24"/>
        </w:rPr>
        <w:t xml:space="preserve">______ </w:t>
      </w:r>
      <w:r w:rsidRPr="005A7F49">
        <w:rPr>
          <w:rFonts w:ascii="Times New Roman" w:hAnsi="Times New Roman" w:cs="Times New Roman"/>
          <w:sz w:val="24"/>
          <w:szCs w:val="24"/>
        </w:rPr>
        <w:t>202</w:t>
      </w:r>
      <w:r w:rsidR="004C5F17">
        <w:rPr>
          <w:rFonts w:ascii="Times New Roman" w:hAnsi="Times New Roman" w:cs="Times New Roman"/>
          <w:sz w:val="24"/>
          <w:szCs w:val="24"/>
        </w:rPr>
        <w:t>6</w:t>
      </w:r>
      <w:r w:rsidR="00D21A07" w:rsidRPr="005A7F49">
        <w:rPr>
          <w:rFonts w:ascii="Times New Roman" w:hAnsi="Times New Roman" w:cs="Times New Roman"/>
          <w:sz w:val="24"/>
          <w:szCs w:val="24"/>
        </w:rPr>
        <w:t xml:space="preserve"> </w:t>
      </w:r>
      <w:r w:rsidR="00CB57A3">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FC3B35">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9A6743">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373BCF">
        <w:rPr>
          <w:rFonts w:ascii="Times New Roman" w:hAnsi="Times New Roman" w:cs="Times New Roman"/>
          <w:sz w:val="24"/>
          <w:szCs w:val="24"/>
        </w:rPr>
        <w:t xml:space="preserve"> ____________________________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373BCF">
        <w:rPr>
          <w:rFonts w:ascii="Times New Roman" w:hAnsi="Times New Roman" w:cs="Times New Roman"/>
          <w:sz w:val="24"/>
          <w:szCs w:val="24"/>
        </w:rPr>
        <w:t>_____________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373BCF">
        <w:rPr>
          <w:rFonts w:ascii="Times New Roman" w:hAnsi="Times New Roman" w:cs="Times New Roman"/>
          <w:bCs/>
          <w:sz w:val="24"/>
          <w:szCs w:val="24"/>
        </w:rPr>
        <w:t>________________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осуществить поставку </w:t>
      </w:r>
      <w:r w:rsidR="009F11F6" w:rsidRPr="009F11F6">
        <w:rPr>
          <w:rFonts w:ascii="Times New Roman" w:hAnsi="Times New Roman" w:cs="Times New Roman"/>
          <w:sz w:val="24"/>
          <w:szCs w:val="24"/>
        </w:rPr>
        <w:t xml:space="preserve">изделий медицинского назначения </w:t>
      </w:r>
      <w:r w:rsidR="009F11F6">
        <w:rPr>
          <w:rFonts w:ascii="Times New Roman" w:hAnsi="Times New Roman" w:cs="Times New Roman"/>
          <w:b/>
          <w:sz w:val="24"/>
          <w:szCs w:val="24"/>
        </w:rPr>
        <w:t xml:space="preserve">«          </w:t>
      </w:r>
      <w:r w:rsidR="008A03C7" w:rsidRPr="008A03C7">
        <w:rPr>
          <w:rFonts w:ascii="Times New Roman" w:hAnsi="Times New Roman" w:cs="Times New Roman"/>
          <w:b/>
          <w:sz w:val="24"/>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r w:rsidR="008C470F" w:rsidRPr="005A7F49">
        <w:t>Добросельская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течение 10</w:t>
      </w:r>
      <w:r w:rsidRPr="005A7F49">
        <w:t xml:space="preserve"> рабочих дней.</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снижена без изменения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305B36"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 xml:space="preserve">с даты </w:t>
      </w:r>
      <w:proofErr w:type="gramStart"/>
      <w:r w:rsidR="00731431" w:rsidRPr="005A7F49">
        <w:rPr>
          <w:rFonts w:ascii="Times New Roman" w:hAnsi="Times New Roman" w:cs="Times New Roman"/>
          <w:sz w:val="24"/>
          <w:szCs w:val="24"/>
        </w:rPr>
        <w:t xml:space="preserve">подписания </w:t>
      </w:r>
      <w:r w:rsidR="00580C93" w:rsidRPr="005A7F49">
        <w:rPr>
          <w:rFonts w:ascii="Times New Roman" w:hAnsi="Times New Roman" w:cs="Times New Roman"/>
          <w:sz w:val="24"/>
          <w:szCs w:val="24"/>
        </w:rPr>
        <w:t xml:space="preserve"> документа</w:t>
      </w:r>
      <w:proofErr w:type="gramEnd"/>
      <w:r w:rsidR="00580C93" w:rsidRPr="005A7F49">
        <w:rPr>
          <w:rFonts w:ascii="Times New Roman" w:hAnsi="Times New Roman" w:cs="Times New Roman"/>
          <w:sz w:val="24"/>
          <w:szCs w:val="24"/>
        </w:rPr>
        <w:t xml:space="preserve">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0703B8" w:rsidRPr="005A7F49">
        <w:rPr>
          <w:rFonts w:ascii="Times New Roman" w:hAnsi="Times New Roman" w:cs="Times New Roman"/>
          <w:sz w:val="24"/>
          <w:szCs w:val="24"/>
        </w:rPr>
        <w:t>.12.2023</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xml:space="preserve">.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796F1C" w:rsidRPr="005A7F49">
        <w:rPr>
          <w:rFonts w:ascii="Times New Roman" w:hAnsi="Times New Roman" w:cs="Times New Roman"/>
          <w:sz w:val="24"/>
          <w:szCs w:val="24"/>
        </w:rPr>
        <w:t xml:space="preserve">статьей </w:t>
      </w:r>
      <w:r w:rsidR="004142E2">
        <w:rPr>
          <w:rFonts w:ascii="Times New Roman" w:hAnsi="Times New Roman" w:cs="Times New Roman"/>
          <w:sz w:val="24"/>
          <w:szCs w:val="24"/>
        </w:rPr>
        <w:t xml:space="preserve"> </w:t>
      </w:r>
      <w:r w:rsidR="00796F1C" w:rsidRPr="005A7F49">
        <w:rPr>
          <w:rFonts w:ascii="Times New Roman" w:hAnsi="Times New Roman" w:cs="Times New Roman"/>
          <w:sz w:val="24"/>
          <w:szCs w:val="24"/>
        </w:rPr>
        <w:t>95</w:t>
      </w:r>
      <w:proofErr w:type="gramEnd"/>
      <w:r w:rsidR="00796F1C" w:rsidRPr="005A7F49">
        <w:rPr>
          <w:rFonts w:ascii="Times New Roman" w:hAnsi="Times New Roman" w:cs="Times New Roman"/>
          <w:sz w:val="24"/>
          <w:szCs w:val="24"/>
        </w:rPr>
        <w:t xml:space="preserve">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9A6743" w:rsidRPr="009A6743">
        <w:t xml:space="preserve"> </w:t>
      </w:r>
      <w:r w:rsidR="009A6743" w:rsidRPr="009A6743">
        <w:rPr>
          <w:rFonts w:ascii="Times New Roman" w:hAnsi="Times New Roman" w:cs="Times New Roman"/>
          <w:b/>
        </w:rPr>
        <w:t xml:space="preserve">имени Л.К. </w:t>
      </w:r>
      <w:proofErr w:type="gramStart"/>
      <w:r w:rsidR="009A6743" w:rsidRPr="009A6743">
        <w:rPr>
          <w:rFonts w:ascii="Times New Roman" w:hAnsi="Times New Roman" w:cs="Times New Roman"/>
          <w:b/>
        </w:rPr>
        <w:t>Кирилловой</w:t>
      </w:r>
      <w:r w:rsidR="009A6743">
        <w:rPr>
          <w:rFonts w:ascii="Times New Roman" w:hAnsi="Times New Roman" w:cs="Times New Roman"/>
          <w:b/>
        </w:rPr>
        <w:t xml:space="preserve"> </w:t>
      </w:r>
      <w:r w:rsidR="006352F4" w:rsidRPr="00FC3B35">
        <w:rPr>
          <w:rFonts w:ascii="Times New Roman" w:hAnsi="Times New Roman" w:cs="Times New Roman"/>
          <w:b/>
        </w:rPr>
        <w:t>»</w:t>
      </w:r>
      <w:proofErr w:type="gramEnd"/>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Юридический адрес: 600031, г. Владимир, ул. Добросельская,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9A6743" w:rsidRPr="009A6743">
        <w:t xml:space="preserve"> </w:t>
      </w:r>
      <w:r w:rsidR="009A6743" w:rsidRPr="009A6743">
        <w:rPr>
          <w:rFonts w:ascii="Times New Roman" w:hAnsi="Times New Roman" w:cs="Times New Roman"/>
        </w:rPr>
        <w:t>имени Л.К. Кирилловой</w:t>
      </w:r>
      <w:r w:rsidR="009A6743">
        <w:rPr>
          <w:rFonts w:ascii="Times New Roman" w:hAnsi="Times New Roman" w:cs="Times New Roman"/>
        </w:rPr>
        <w:t xml:space="preserve"> </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БИК 011708377</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Счет банка: 40102810945370000020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Банк: ОТДЕЛЕНИЕ ВЛАДИМИР БАНКА РОССИИ//УФК по Владимирской области г. Владимир</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4C5F1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6160" w:type="dxa"/>
        <w:tblInd w:w="-1026" w:type="dxa"/>
        <w:tblLayout w:type="fixed"/>
        <w:tblLook w:val="0000" w:firstRow="0" w:lastRow="0" w:firstColumn="0" w:lastColumn="0" w:noHBand="0" w:noVBand="0"/>
      </w:tblPr>
      <w:tblGrid>
        <w:gridCol w:w="567"/>
        <w:gridCol w:w="1985"/>
        <w:gridCol w:w="1559"/>
        <w:gridCol w:w="851"/>
        <w:gridCol w:w="992"/>
        <w:gridCol w:w="1275"/>
        <w:gridCol w:w="1276"/>
        <w:gridCol w:w="1843"/>
        <w:gridCol w:w="2126"/>
        <w:gridCol w:w="1276"/>
        <w:gridCol w:w="1134"/>
        <w:gridCol w:w="1276"/>
      </w:tblGrid>
      <w:tr w:rsidR="00FB6BC7" w:rsidRPr="00613573" w:rsidTr="00FB6BC7">
        <w:trPr>
          <w:trHeight w:val="450"/>
        </w:trPr>
        <w:tc>
          <w:tcPr>
            <w:tcW w:w="567"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6237" w:type="dxa"/>
            <w:gridSpan w:val="5"/>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2126"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410" w:type="dxa"/>
            <w:gridSpan w:val="2"/>
            <w:vMerge w:val="restart"/>
            <w:tcBorders>
              <w:top w:val="single" w:sz="4" w:space="0" w:color="000000"/>
              <w:left w:val="single" w:sz="4" w:space="0" w:color="000000"/>
            </w:tcBorders>
            <w:shd w:val="clear" w:color="auto" w:fill="auto"/>
            <w:vAlign w:val="center"/>
          </w:tcPr>
          <w:p w:rsidR="00FB6BC7" w:rsidRPr="00613573" w:rsidRDefault="00FB6BC7" w:rsidP="000703B8">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FB6BC7" w:rsidRPr="00FB6BC7" w:rsidRDefault="00FB6BC7"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FB6BC7" w:rsidRPr="00FB6BC7" w:rsidRDefault="00FB6BC7"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FB6BC7" w:rsidRPr="00613573" w:rsidTr="00FB6BC7">
        <w:trPr>
          <w:trHeight w:val="286"/>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851"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992"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843"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2410" w:type="dxa"/>
            <w:gridSpan w:val="2"/>
            <w:vMerge/>
            <w:tcBorders>
              <w:lef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253"/>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851" w:type="dxa"/>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992" w:type="dxa"/>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1275" w:type="dxa"/>
            <w:vMerge w:val="restart"/>
            <w:tcBorders>
              <w:top w:val="single" w:sz="4" w:space="0" w:color="000000"/>
              <w:left w:val="single" w:sz="4" w:space="0" w:color="000000"/>
              <w:right w:val="single" w:sz="4" w:space="0" w:color="auto"/>
            </w:tcBorders>
            <w:shd w:val="clear" w:color="auto" w:fill="auto"/>
            <w:vAlign w:val="center"/>
          </w:tcPr>
          <w:p w:rsidR="00FB6BC7" w:rsidRPr="00FB6BC7" w:rsidRDefault="00FB6BC7"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FB6BC7" w:rsidRPr="00FB6BC7" w:rsidRDefault="00FB6BC7"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276" w:type="dxa"/>
            <w:vMerge w:val="restart"/>
            <w:tcBorders>
              <w:top w:val="single" w:sz="4" w:space="0" w:color="000000"/>
              <w:left w:val="single" w:sz="4" w:space="0" w:color="000000"/>
              <w:right w:val="single" w:sz="4" w:space="0" w:color="auto"/>
            </w:tcBorders>
            <w:shd w:val="clear" w:color="auto" w:fill="auto"/>
            <w:vAlign w:val="center"/>
          </w:tcPr>
          <w:p w:rsidR="00FB6BC7" w:rsidRPr="00613573" w:rsidRDefault="00FB6BC7" w:rsidP="000703B8">
            <w:pPr>
              <w:snapToGrid w:val="0"/>
              <w:spacing w:after="0" w:line="240" w:lineRule="auto"/>
              <w:jc w:val="center"/>
              <w:rPr>
                <w:rFonts w:ascii="Times New Roman" w:eastAsia="Times New Roman" w:hAnsi="Times New Roman" w:cs="Times New Roman"/>
                <w:kern w:val="2"/>
                <w:szCs w:val="20"/>
                <w:lang w:eastAsia="ru-RU"/>
              </w:rPr>
            </w:pPr>
            <w:r>
              <w:rPr>
                <w:rFonts w:ascii="Times New Roman" w:eastAsia="Times New Roman" w:hAnsi="Times New Roman" w:cs="Times New Roman"/>
                <w:kern w:val="2"/>
                <w:szCs w:val="20"/>
                <w:lang w:eastAsia="ru-RU"/>
              </w:rPr>
              <w:t>ОМС (0903)</w:t>
            </w:r>
          </w:p>
        </w:tc>
        <w:tc>
          <w:tcPr>
            <w:tcW w:w="1843" w:type="dxa"/>
            <w:vMerge/>
            <w:tcBorders>
              <w:left w:val="single" w:sz="4" w:space="0" w:color="auto"/>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2410" w:type="dxa"/>
            <w:gridSpan w:val="2"/>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416"/>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851" w:type="dxa"/>
            <w:vMerge/>
            <w:tcBorders>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992" w:type="dxa"/>
            <w:vMerge/>
            <w:tcBorders>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vMerge/>
            <w:tcBorders>
              <w:left w:val="single" w:sz="4" w:space="0" w:color="000000"/>
              <w:bottom w:val="single" w:sz="4" w:space="0" w:color="000000"/>
              <w:right w:val="single" w:sz="4" w:space="0" w:color="auto"/>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vMerge/>
            <w:tcBorders>
              <w:left w:val="single" w:sz="4" w:space="0" w:color="000000"/>
              <w:bottom w:val="single" w:sz="4" w:space="0" w:color="000000"/>
              <w:right w:val="single" w:sz="4" w:space="0" w:color="auto"/>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vMerge/>
            <w:tcBorders>
              <w:left w:val="single" w:sz="4" w:space="0" w:color="auto"/>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tcBorders>
              <w:left w:val="single" w:sz="4" w:space="0" w:color="000000"/>
              <w:bottom w:val="single" w:sz="4" w:space="0" w:color="000000"/>
              <w:right w:val="single" w:sz="4" w:space="0" w:color="auto"/>
            </w:tcBorders>
            <w:shd w:val="clear" w:color="auto" w:fill="auto"/>
            <w:vAlign w:val="center"/>
          </w:tcPr>
          <w:p w:rsidR="00FB6BC7" w:rsidRPr="00FB6BC7" w:rsidRDefault="00FB6BC7"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FB6BC7" w:rsidRPr="00FB6BC7" w:rsidRDefault="00FB6BC7"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34" w:type="dxa"/>
            <w:tcBorders>
              <w:left w:val="single" w:sz="4" w:space="0" w:color="auto"/>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r>
              <w:rPr>
                <w:rFonts w:ascii="Times New Roman" w:eastAsia="Times New Roman" w:hAnsi="Times New Roman" w:cs="Times New Roman"/>
                <w:kern w:val="2"/>
                <w:szCs w:val="20"/>
                <w:lang w:eastAsia="ru-RU"/>
              </w:rPr>
              <w:t>ОМС (0903)</w:t>
            </w: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595"/>
        </w:trPr>
        <w:tc>
          <w:tcPr>
            <w:tcW w:w="567" w:type="dxa"/>
            <w:tcBorders>
              <w:left w:val="single" w:sz="4" w:space="0" w:color="000000"/>
              <w:right w:val="single" w:sz="4" w:space="0" w:color="auto"/>
            </w:tcBorders>
            <w:shd w:val="clear" w:color="auto" w:fill="auto"/>
            <w:vAlign w:val="center"/>
          </w:tcPr>
          <w:p w:rsidR="00FB6BC7" w:rsidRPr="00037930" w:rsidRDefault="00FB6BC7"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985" w:type="dxa"/>
            <w:tcBorders>
              <w:left w:val="single" w:sz="4" w:space="0" w:color="auto"/>
              <w:right w:val="single" w:sz="4" w:space="0" w:color="auto"/>
            </w:tcBorders>
            <w:shd w:val="clear" w:color="auto" w:fill="auto"/>
            <w:vAlign w:val="center"/>
          </w:tcPr>
          <w:p w:rsidR="00FB6BC7" w:rsidRPr="00037930" w:rsidRDefault="00FB6BC7"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559" w:type="dxa"/>
            <w:tcBorders>
              <w:left w:val="single" w:sz="4" w:space="0" w:color="auto"/>
            </w:tcBorders>
            <w:shd w:val="clear" w:color="auto" w:fill="auto"/>
            <w:vAlign w:val="center"/>
          </w:tcPr>
          <w:p w:rsidR="00FB6BC7" w:rsidRPr="00037930" w:rsidRDefault="00FB6BC7"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851" w:type="dxa"/>
            <w:tcBorders>
              <w:left w:val="single" w:sz="4" w:space="0" w:color="auto"/>
              <w:right w:val="single" w:sz="4" w:space="0" w:color="auto"/>
            </w:tcBorders>
            <w:shd w:val="clear" w:color="auto" w:fill="auto"/>
            <w:vAlign w:val="center"/>
          </w:tcPr>
          <w:p w:rsidR="00FB6BC7" w:rsidRPr="00037930" w:rsidRDefault="00FB6BC7" w:rsidP="00FB6BC7">
            <w:pPr>
              <w:spacing w:after="0" w:line="240" w:lineRule="auto"/>
              <w:jc w:val="center"/>
              <w:rPr>
                <w:rFonts w:ascii="Times New Roman" w:eastAsia="Times New Roman" w:hAnsi="Times New Roman" w:cs="Times New Roman"/>
                <w:kern w:val="2"/>
                <w:szCs w:val="20"/>
                <w:lang w:eastAsia="zh-CN"/>
              </w:rPr>
            </w:pPr>
          </w:p>
        </w:tc>
        <w:tc>
          <w:tcPr>
            <w:tcW w:w="992"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tcBorders>
              <w:left w:val="single" w:sz="4" w:space="0" w:color="auto"/>
            </w:tcBorders>
            <w:shd w:val="clear" w:color="auto" w:fill="auto"/>
            <w:vAlign w:val="center"/>
          </w:tcPr>
          <w:p w:rsidR="00FB6BC7" w:rsidRPr="00445DA4"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2126" w:type="dxa"/>
            <w:tcBorders>
              <w:left w:val="single" w:sz="4" w:space="0" w:color="000000"/>
              <w:right w:val="single" w:sz="4" w:space="0" w:color="auto"/>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276" w:type="dxa"/>
            <w:tcBorders>
              <w:left w:val="single" w:sz="4" w:space="0" w:color="auto"/>
              <w:right w:val="single" w:sz="4" w:space="0" w:color="auto"/>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134" w:type="dxa"/>
            <w:tcBorders>
              <w:left w:val="single" w:sz="4" w:space="0" w:color="auto"/>
              <w:right w:val="single" w:sz="4" w:space="0" w:color="000000"/>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276" w:type="dxa"/>
            <w:vMerge/>
            <w:tcBorders>
              <w:left w:val="single" w:sz="4" w:space="0" w:color="000000"/>
              <w:right w:val="single" w:sz="4" w:space="0" w:color="000000"/>
            </w:tcBorders>
            <w:shd w:val="clear" w:color="auto" w:fill="auto"/>
            <w:vAlign w:val="center"/>
          </w:tcPr>
          <w:p w:rsidR="00FB6BC7" w:rsidRPr="00445DA4" w:rsidRDefault="00FB6BC7" w:rsidP="00FB6BC7">
            <w:pPr>
              <w:spacing w:after="0" w:line="240" w:lineRule="auto"/>
              <w:jc w:val="center"/>
              <w:rPr>
                <w:rFonts w:ascii="Times New Roman" w:eastAsia="Times New Roman" w:hAnsi="Times New Roman" w:cs="Times New Roman"/>
                <w:kern w:val="2"/>
                <w:szCs w:val="20"/>
                <w:lang w:eastAsia="zh-CN"/>
              </w:rPr>
            </w:pPr>
          </w:p>
        </w:tc>
      </w:tr>
      <w:tr w:rsidR="00FB6BC7" w:rsidRPr="00613573" w:rsidTr="00FB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67" w:type="dxa"/>
          </w:tcPr>
          <w:p w:rsidR="00FB6BC7" w:rsidRPr="00037930" w:rsidRDefault="00FB6BC7" w:rsidP="00FB6BC7">
            <w:pPr>
              <w:tabs>
                <w:tab w:val="left" w:pos="6645"/>
              </w:tabs>
              <w:jc w:val="center"/>
              <w:rPr>
                <w:rFonts w:ascii="Times New Roman" w:hAnsi="Times New Roman" w:cs="Times New Roman"/>
                <w:szCs w:val="20"/>
              </w:rPr>
            </w:pPr>
            <w:r w:rsidRPr="00037930">
              <w:rPr>
                <w:rFonts w:ascii="Times New Roman" w:hAnsi="Times New Roman" w:cs="Times New Roman"/>
                <w:szCs w:val="20"/>
              </w:rPr>
              <w:t>2</w:t>
            </w:r>
          </w:p>
        </w:tc>
        <w:tc>
          <w:tcPr>
            <w:tcW w:w="1985" w:type="dxa"/>
          </w:tcPr>
          <w:p w:rsidR="00FB6BC7" w:rsidRPr="00037930" w:rsidRDefault="00FB6BC7" w:rsidP="00FB6BC7">
            <w:pPr>
              <w:tabs>
                <w:tab w:val="left" w:pos="6645"/>
              </w:tabs>
              <w:jc w:val="center"/>
              <w:rPr>
                <w:rFonts w:ascii="Times New Roman" w:hAnsi="Times New Roman" w:cs="Times New Roman"/>
                <w:szCs w:val="20"/>
              </w:rPr>
            </w:pPr>
          </w:p>
        </w:tc>
        <w:tc>
          <w:tcPr>
            <w:tcW w:w="1559" w:type="dxa"/>
          </w:tcPr>
          <w:p w:rsidR="00FB6BC7" w:rsidRPr="00037930" w:rsidRDefault="00FB6BC7" w:rsidP="00FB6BC7">
            <w:pPr>
              <w:tabs>
                <w:tab w:val="left" w:pos="6645"/>
              </w:tabs>
              <w:jc w:val="center"/>
              <w:rPr>
                <w:rFonts w:ascii="Times New Roman" w:hAnsi="Times New Roman" w:cs="Times New Roman"/>
                <w:szCs w:val="20"/>
              </w:rPr>
            </w:pPr>
          </w:p>
        </w:tc>
        <w:tc>
          <w:tcPr>
            <w:tcW w:w="851" w:type="dxa"/>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992" w:type="dxa"/>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tcPr>
          <w:p w:rsidR="00FB6BC7" w:rsidRPr="00613573" w:rsidRDefault="00FB6BC7" w:rsidP="00FB6BC7">
            <w:pPr>
              <w:tabs>
                <w:tab w:val="left" w:pos="6645"/>
              </w:tabs>
              <w:jc w:val="center"/>
              <w:rPr>
                <w:rFonts w:ascii="Times New Roman" w:hAnsi="Times New Roman" w:cs="Times New Roman"/>
                <w:szCs w:val="20"/>
                <w:highlight w:val="yellow"/>
              </w:rPr>
            </w:pPr>
          </w:p>
        </w:tc>
        <w:tc>
          <w:tcPr>
            <w:tcW w:w="2126" w:type="dxa"/>
          </w:tcPr>
          <w:p w:rsidR="00FB6BC7" w:rsidRPr="00613573" w:rsidRDefault="00FB6BC7" w:rsidP="00FB6BC7">
            <w:pPr>
              <w:tabs>
                <w:tab w:val="left" w:pos="6645"/>
              </w:tabs>
              <w:jc w:val="center"/>
              <w:rPr>
                <w:rFonts w:ascii="Times New Roman" w:hAnsi="Times New Roman" w:cs="Times New Roman"/>
                <w:szCs w:val="20"/>
              </w:rPr>
            </w:pPr>
          </w:p>
        </w:tc>
        <w:tc>
          <w:tcPr>
            <w:tcW w:w="1276" w:type="dxa"/>
            <w:tcBorders>
              <w:right w:val="single" w:sz="4" w:space="0" w:color="auto"/>
            </w:tcBorders>
          </w:tcPr>
          <w:p w:rsidR="00FB6BC7" w:rsidRPr="00613573" w:rsidRDefault="00FB6BC7" w:rsidP="00FB6BC7">
            <w:pPr>
              <w:tabs>
                <w:tab w:val="left" w:pos="6645"/>
              </w:tabs>
              <w:jc w:val="center"/>
              <w:rPr>
                <w:rFonts w:ascii="Times New Roman" w:hAnsi="Times New Roman" w:cs="Times New Roman"/>
                <w:szCs w:val="20"/>
              </w:rPr>
            </w:pPr>
          </w:p>
        </w:tc>
        <w:tc>
          <w:tcPr>
            <w:tcW w:w="1134" w:type="dxa"/>
            <w:tcBorders>
              <w:right w:val="single" w:sz="4" w:space="0" w:color="000000"/>
            </w:tcBorders>
          </w:tcPr>
          <w:p w:rsidR="00FB6BC7" w:rsidRPr="00613573" w:rsidRDefault="00FB6BC7" w:rsidP="00FB6BC7">
            <w:pPr>
              <w:tabs>
                <w:tab w:val="left" w:pos="6645"/>
              </w:tabs>
              <w:jc w:val="center"/>
              <w:rPr>
                <w:rFonts w:ascii="Times New Roman" w:hAnsi="Times New Roman" w:cs="Times New Roman"/>
                <w:szCs w:val="20"/>
              </w:rPr>
            </w:pPr>
          </w:p>
        </w:tc>
        <w:tc>
          <w:tcPr>
            <w:tcW w:w="1276" w:type="dxa"/>
            <w:vMerge/>
            <w:tcBorders>
              <w:left w:val="single" w:sz="4" w:space="0" w:color="000000"/>
              <w:right w:val="single" w:sz="4" w:space="0" w:color="000000"/>
            </w:tcBorders>
          </w:tcPr>
          <w:p w:rsidR="00FB6BC7" w:rsidRPr="00445DA4" w:rsidRDefault="00FB6BC7" w:rsidP="00FB6BC7">
            <w:pPr>
              <w:tabs>
                <w:tab w:val="left" w:pos="6645"/>
              </w:tabs>
              <w:jc w:val="center"/>
              <w:rPr>
                <w:rFonts w:ascii="Times New Roman" w:hAnsi="Times New Roman" w:cs="Times New Roman"/>
                <w:szCs w:val="20"/>
              </w:rPr>
            </w:pPr>
          </w:p>
        </w:tc>
      </w:tr>
      <w:tr w:rsidR="00FB6BC7" w:rsidRPr="00613573" w:rsidTr="00FB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962" w:type="dxa"/>
            <w:gridSpan w:val="4"/>
          </w:tcPr>
          <w:p w:rsidR="00FB6BC7" w:rsidRPr="00613573" w:rsidRDefault="00FB6BC7"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992" w:type="dxa"/>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275" w:type="dxa"/>
            <w:shd w:val="clear" w:color="auto" w:fill="auto"/>
          </w:tcPr>
          <w:p w:rsidR="00FB6BC7" w:rsidRPr="00613573" w:rsidRDefault="00FB6BC7" w:rsidP="00FB6BC7">
            <w:pPr>
              <w:tabs>
                <w:tab w:val="left" w:pos="6645"/>
              </w:tabs>
              <w:jc w:val="center"/>
              <w:rPr>
                <w:rFonts w:ascii="Times New Roman" w:hAnsi="Times New Roman" w:cs="Times New Roman"/>
                <w:szCs w:val="20"/>
              </w:rPr>
            </w:pPr>
          </w:p>
        </w:tc>
        <w:tc>
          <w:tcPr>
            <w:tcW w:w="1276" w:type="dxa"/>
            <w:shd w:val="clear" w:color="auto" w:fill="auto"/>
          </w:tcPr>
          <w:p w:rsidR="00FB6BC7" w:rsidRPr="00613573" w:rsidRDefault="00FB6BC7" w:rsidP="00FB6BC7">
            <w:pPr>
              <w:tabs>
                <w:tab w:val="left" w:pos="6645"/>
              </w:tabs>
              <w:jc w:val="center"/>
              <w:rPr>
                <w:rFonts w:ascii="Times New Roman" w:hAnsi="Times New Roman" w:cs="Times New Roman"/>
                <w:szCs w:val="20"/>
              </w:rPr>
            </w:pPr>
          </w:p>
        </w:tc>
        <w:tc>
          <w:tcPr>
            <w:tcW w:w="1843" w:type="dxa"/>
          </w:tcPr>
          <w:p w:rsidR="00FB6BC7" w:rsidRPr="00613573" w:rsidRDefault="00FB6BC7" w:rsidP="00FB6BC7">
            <w:pPr>
              <w:tabs>
                <w:tab w:val="left" w:pos="6645"/>
              </w:tabs>
              <w:jc w:val="center"/>
              <w:rPr>
                <w:rFonts w:ascii="Times New Roman" w:hAnsi="Times New Roman" w:cs="Times New Roman"/>
                <w:szCs w:val="20"/>
                <w:highlight w:val="yellow"/>
              </w:rPr>
            </w:pPr>
          </w:p>
        </w:tc>
        <w:tc>
          <w:tcPr>
            <w:tcW w:w="2126" w:type="dxa"/>
          </w:tcPr>
          <w:p w:rsidR="00FB6BC7" w:rsidRPr="00613573" w:rsidRDefault="00FB6BC7" w:rsidP="00FB6BC7">
            <w:pPr>
              <w:tabs>
                <w:tab w:val="left" w:pos="6645"/>
              </w:tabs>
              <w:jc w:val="center"/>
              <w:rPr>
                <w:rFonts w:ascii="Times New Roman" w:hAnsi="Times New Roman" w:cs="Times New Roman"/>
                <w:szCs w:val="20"/>
              </w:rPr>
            </w:pPr>
          </w:p>
        </w:tc>
        <w:tc>
          <w:tcPr>
            <w:tcW w:w="1276" w:type="dxa"/>
            <w:tcBorders>
              <w:right w:val="single" w:sz="4" w:space="0" w:color="auto"/>
            </w:tcBorders>
          </w:tcPr>
          <w:p w:rsidR="00FB6BC7" w:rsidRPr="00613573" w:rsidRDefault="00FB6BC7" w:rsidP="00FB6BC7">
            <w:pPr>
              <w:tabs>
                <w:tab w:val="left" w:pos="6645"/>
              </w:tabs>
              <w:jc w:val="center"/>
              <w:rPr>
                <w:rFonts w:ascii="Times New Roman" w:hAnsi="Times New Roman" w:cs="Times New Roman"/>
                <w:szCs w:val="20"/>
              </w:rPr>
            </w:pPr>
          </w:p>
        </w:tc>
        <w:tc>
          <w:tcPr>
            <w:tcW w:w="1134" w:type="dxa"/>
            <w:tcBorders>
              <w:right w:val="single" w:sz="4" w:space="0" w:color="000000"/>
            </w:tcBorders>
          </w:tcPr>
          <w:p w:rsidR="00FB6BC7" w:rsidRPr="00613573" w:rsidRDefault="00FB6BC7" w:rsidP="00FB6BC7">
            <w:pPr>
              <w:tabs>
                <w:tab w:val="left" w:pos="6645"/>
              </w:tabs>
              <w:jc w:val="center"/>
              <w:rPr>
                <w:rFonts w:ascii="Times New Roman" w:hAnsi="Times New Roman" w:cs="Times New Roman"/>
                <w:szCs w:val="20"/>
              </w:rPr>
            </w:pPr>
          </w:p>
        </w:tc>
        <w:tc>
          <w:tcPr>
            <w:tcW w:w="1276" w:type="dxa"/>
            <w:vMerge/>
            <w:tcBorders>
              <w:left w:val="single" w:sz="4" w:space="0" w:color="000000"/>
              <w:right w:val="single" w:sz="4" w:space="0" w:color="000000"/>
            </w:tcBorders>
          </w:tcPr>
          <w:p w:rsidR="00FB6BC7" w:rsidRPr="00613573" w:rsidRDefault="00FB6BC7"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4C5F1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C96A10">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7970C0">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7970C0" w:rsidRDefault="007970C0" w:rsidP="00AC7F45">
      <w:pPr>
        <w:pStyle w:val="ConsPlusNormal"/>
        <w:outlineLvl w:val="1"/>
        <w:rPr>
          <w:rFonts w:ascii="Times New Roman" w:hAnsi="Times New Roman" w:cs="Times New Roman"/>
        </w:rPr>
      </w:pPr>
    </w:p>
    <w:p w:rsidR="007970C0" w:rsidRDefault="007970C0"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4C5F1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w:t>
      </w:r>
      <w:proofErr w:type="gramStart"/>
      <w:r w:rsidRPr="00613573">
        <w:rPr>
          <w:rFonts w:ascii="Times New Roman" w:hAnsi="Times New Roman" w:cs="Times New Roman"/>
          <w:sz w:val="22"/>
        </w:rPr>
        <w:t>оптовая  надбавка</w:t>
      </w:r>
      <w:proofErr w:type="gramEnd"/>
      <w:r w:rsidRPr="00613573">
        <w:rPr>
          <w:rFonts w:ascii="Times New Roman" w:hAnsi="Times New Roman" w:cs="Times New Roman"/>
          <w:sz w:val="22"/>
        </w:rPr>
        <w:t xml:space="preserve">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7970C0" w:rsidRDefault="007970C0">
      <w:pPr>
        <w:pStyle w:val="ConsPlusNormal"/>
        <w:jc w:val="both"/>
        <w:rPr>
          <w:rFonts w:ascii="Times New Roman" w:hAnsi="Times New Roman" w:cs="Times New Roman"/>
        </w:rPr>
      </w:pPr>
    </w:p>
    <w:p w:rsidR="007970C0" w:rsidRDefault="007970C0">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4C5F1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B36" w:rsidRDefault="00305B36" w:rsidP="006422E2">
      <w:pPr>
        <w:spacing w:after="0" w:line="240" w:lineRule="auto"/>
      </w:pPr>
      <w:r>
        <w:separator/>
      </w:r>
    </w:p>
  </w:endnote>
  <w:endnote w:type="continuationSeparator" w:id="0">
    <w:p w:rsidR="00305B36" w:rsidRDefault="00305B36"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BC7" w:rsidRDefault="00FB6BC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B36" w:rsidRDefault="00305B36" w:rsidP="006422E2">
      <w:pPr>
        <w:spacing w:after="0" w:line="240" w:lineRule="auto"/>
      </w:pPr>
      <w:r>
        <w:separator/>
      </w:r>
    </w:p>
  </w:footnote>
  <w:footnote w:type="continuationSeparator" w:id="0">
    <w:p w:rsidR="00305B36" w:rsidRDefault="00305B36"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BC7" w:rsidRDefault="00FB6BC7" w:rsidP="006422E2">
    <w:pPr>
      <w:pStyle w:val="a5"/>
    </w:pPr>
  </w:p>
  <w:p w:rsidR="00FB6BC7" w:rsidRDefault="00FB6B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1027A"/>
    <w:rsid w:val="00037930"/>
    <w:rsid w:val="0004105A"/>
    <w:rsid w:val="000471C9"/>
    <w:rsid w:val="000703B8"/>
    <w:rsid w:val="00083FB1"/>
    <w:rsid w:val="000877BD"/>
    <w:rsid w:val="000A4B4E"/>
    <w:rsid w:val="000B7235"/>
    <w:rsid w:val="000D188D"/>
    <w:rsid w:val="000E620B"/>
    <w:rsid w:val="000F352D"/>
    <w:rsid w:val="000F7823"/>
    <w:rsid w:val="001118D9"/>
    <w:rsid w:val="001244A5"/>
    <w:rsid w:val="001336C5"/>
    <w:rsid w:val="00134AF4"/>
    <w:rsid w:val="00135246"/>
    <w:rsid w:val="0017622E"/>
    <w:rsid w:val="00176955"/>
    <w:rsid w:val="0018086C"/>
    <w:rsid w:val="001811A2"/>
    <w:rsid w:val="0018356B"/>
    <w:rsid w:val="001862A1"/>
    <w:rsid w:val="001A0736"/>
    <w:rsid w:val="001A3B21"/>
    <w:rsid w:val="001B3034"/>
    <w:rsid w:val="001B4D67"/>
    <w:rsid w:val="001B7250"/>
    <w:rsid w:val="001C15FC"/>
    <w:rsid w:val="001E1046"/>
    <w:rsid w:val="001E2D05"/>
    <w:rsid w:val="001E2DDF"/>
    <w:rsid w:val="0020306E"/>
    <w:rsid w:val="0020513A"/>
    <w:rsid w:val="00210BF2"/>
    <w:rsid w:val="00223266"/>
    <w:rsid w:val="00274A9D"/>
    <w:rsid w:val="002B2B7A"/>
    <w:rsid w:val="002C622C"/>
    <w:rsid w:val="002C7EA1"/>
    <w:rsid w:val="002D1167"/>
    <w:rsid w:val="002D42E8"/>
    <w:rsid w:val="00305B36"/>
    <w:rsid w:val="00326E9A"/>
    <w:rsid w:val="00327C26"/>
    <w:rsid w:val="00341B8D"/>
    <w:rsid w:val="00346B7B"/>
    <w:rsid w:val="00362419"/>
    <w:rsid w:val="00362CB7"/>
    <w:rsid w:val="00373BCF"/>
    <w:rsid w:val="003746A6"/>
    <w:rsid w:val="0037658C"/>
    <w:rsid w:val="0039123C"/>
    <w:rsid w:val="00395273"/>
    <w:rsid w:val="003C0336"/>
    <w:rsid w:val="004049D2"/>
    <w:rsid w:val="004142E2"/>
    <w:rsid w:val="00427322"/>
    <w:rsid w:val="004360AB"/>
    <w:rsid w:val="0044074F"/>
    <w:rsid w:val="00445DA4"/>
    <w:rsid w:val="00462E7E"/>
    <w:rsid w:val="004700B4"/>
    <w:rsid w:val="004956A5"/>
    <w:rsid w:val="004C5F17"/>
    <w:rsid w:val="004C5FB7"/>
    <w:rsid w:val="004C6C93"/>
    <w:rsid w:val="004D0751"/>
    <w:rsid w:val="004D292C"/>
    <w:rsid w:val="004D5D8C"/>
    <w:rsid w:val="004D6619"/>
    <w:rsid w:val="00500EF0"/>
    <w:rsid w:val="00512913"/>
    <w:rsid w:val="00517A3D"/>
    <w:rsid w:val="00533B86"/>
    <w:rsid w:val="00540C15"/>
    <w:rsid w:val="0054430A"/>
    <w:rsid w:val="00552B90"/>
    <w:rsid w:val="00556901"/>
    <w:rsid w:val="00560DCA"/>
    <w:rsid w:val="00567E90"/>
    <w:rsid w:val="00573156"/>
    <w:rsid w:val="00575C24"/>
    <w:rsid w:val="00580C93"/>
    <w:rsid w:val="005A7F49"/>
    <w:rsid w:val="005D3261"/>
    <w:rsid w:val="00606247"/>
    <w:rsid w:val="00610869"/>
    <w:rsid w:val="00613573"/>
    <w:rsid w:val="00621500"/>
    <w:rsid w:val="00626679"/>
    <w:rsid w:val="006352F4"/>
    <w:rsid w:val="00635AA5"/>
    <w:rsid w:val="006422E2"/>
    <w:rsid w:val="00663497"/>
    <w:rsid w:val="006721F3"/>
    <w:rsid w:val="006A2720"/>
    <w:rsid w:val="006B2C92"/>
    <w:rsid w:val="006C2AD1"/>
    <w:rsid w:val="006D3CD5"/>
    <w:rsid w:val="006F129D"/>
    <w:rsid w:val="00707341"/>
    <w:rsid w:val="00723DE0"/>
    <w:rsid w:val="00731431"/>
    <w:rsid w:val="007326EE"/>
    <w:rsid w:val="00745C12"/>
    <w:rsid w:val="00765698"/>
    <w:rsid w:val="00766FE1"/>
    <w:rsid w:val="00775649"/>
    <w:rsid w:val="0079011E"/>
    <w:rsid w:val="007916C6"/>
    <w:rsid w:val="007938A2"/>
    <w:rsid w:val="00796F1C"/>
    <w:rsid w:val="007970C0"/>
    <w:rsid w:val="007A08BF"/>
    <w:rsid w:val="007B604E"/>
    <w:rsid w:val="007B6950"/>
    <w:rsid w:val="007D0B17"/>
    <w:rsid w:val="007E0109"/>
    <w:rsid w:val="00841028"/>
    <w:rsid w:val="0084309C"/>
    <w:rsid w:val="008443A1"/>
    <w:rsid w:val="00847B6C"/>
    <w:rsid w:val="00867B89"/>
    <w:rsid w:val="00884105"/>
    <w:rsid w:val="00894098"/>
    <w:rsid w:val="008A03C7"/>
    <w:rsid w:val="008A4081"/>
    <w:rsid w:val="008C470F"/>
    <w:rsid w:val="008C4BE3"/>
    <w:rsid w:val="00904885"/>
    <w:rsid w:val="00923ACE"/>
    <w:rsid w:val="00945175"/>
    <w:rsid w:val="00953391"/>
    <w:rsid w:val="009669C0"/>
    <w:rsid w:val="00966A36"/>
    <w:rsid w:val="00980173"/>
    <w:rsid w:val="009824AF"/>
    <w:rsid w:val="009A6743"/>
    <w:rsid w:val="009B643D"/>
    <w:rsid w:val="009E2254"/>
    <w:rsid w:val="009F11F6"/>
    <w:rsid w:val="00A20C3D"/>
    <w:rsid w:val="00A322DF"/>
    <w:rsid w:val="00A3672D"/>
    <w:rsid w:val="00A61507"/>
    <w:rsid w:val="00A94BAE"/>
    <w:rsid w:val="00A94D8A"/>
    <w:rsid w:val="00A96365"/>
    <w:rsid w:val="00A963D7"/>
    <w:rsid w:val="00AA10A5"/>
    <w:rsid w:val="00AB5102"/>
    <w:rsid w:val="00AC1156"/>
    <w:rsid w:val="00AC7F45"/>
    <w:rsid w:val="00AD23AD"/>
    <w:rsid w:val="00AE6CDF"/>
    <w:rsid w:val="00B34FCF"/>
    <w:rsid w:val="00B35944"/>
    <w:rsid w:val="00B4645B"/>
    <w:rsid w:val="00B6792C"/>
    <w:rsid w:val="00B7298C"/>
    <w:rsid w:val="00B73865"/>
    <w:rsid w:val="00B7693C"/>
    <w:rsid w:val="00B777E9"/>
    <w:rsid w:val="00BD057B"/>
    <w:rsid w:val="00C030C9"/>
    <w:rsid w:val="00C12DF7"/>
    <w:rsid w:val="00C14C0A"/>
    <w:rsid w:val="00C511B2"/>
    <w:rsid w:val="00C70A91"/>
    <w:rsid w:val="00C73B8D"/>
    <w:rsid w:val="00C96A10"/>
    <w:rsid w:val="00CA13EC"/>
    <w:rsid w:val="00CB57A3"/>
    <w:rsid w:val="00CC74FF"/>
    <w:rsid w:val="00CD557F"/>
    <w:rsid w:val="00CD5D97"/>
    <w:rsid w:val="00D06D70"/>
    <w:rsid w:val="00D136D4"/>
    <w:rsid w:val="00D13997"/>
    <w:rsid w:val="00D21A07"/>
    <w:rsid w:val="00D273AB"/>
    <w:rsid w:val="00D33E31"/>
    <w:rsid w:val="00D608FF"/>
    <w:rsid w:val="00D90028"/>
    <w:rsid w:val="00DB3C0E"/>
    <w:rsid w:val="00DC4A1E"/>
    <w:rsid w:val="00DE0330"/>
    <w:rsid w:val="00DE1E5C"/>
    <w:rsid w:val="00E2114D"/>
    <w:rsid w:val="00E33F3A"/>
    <w:rsid w:val="00E41FFC"/>
    <w:rsid w:val="00E511B2"/>
    <w:rsid w:val="00E86D19"/>
    <w:rsid w:val="00EB374C"/>
    <w:rsid w:val="00ED7CF7"/>
    <w:rsid w:val="00F361C4"/>
    <w:rsid w:val="00F36413"/>
    <w:rsid w:val="00F507D8"/>
    <w:rsid w:val="00F711D6"/>
    <w:rsid w:val="00F80A7A"/>
    <w:rsid w:val="00FA6515"/>
    <w:rsid w:val="00FB0810"/>
    <w:rsid w:val="00FB6BC7"/>
    <w:rsid w:val="00FC3B35"/>
    <w:rsid w:val="00FE6414"/>
    <w:rsid w:val="00FE77EA"/>
    <w:rsid w:val="00FF46D2"/>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42951-EAAC-4C1A-9ADD-E9FE5FA8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7569</Words>
  <Characters>43146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11</cp:revision>
  <cp:lastPrinted>2022-12-02T09:38:00Z</cp:lastPrinted>
  <dcterms:created xsi:type="dcterms:W3CDTF">2023-04-06T12:40:00Z</dcterms:created>
  <dcterms:modified xsi:type="dcterms:W3CDTF">2026-06-03T08:13:00Z</dcterms:modified>
</cp:coreProperties>
</file>