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EA7B07">
        <w:rPr>
          <w:rFonts w:ascii="Times New Roman" w:hAnsi="Times New Roman" w:cs="Times New Roman"/>
          <w:sz w:val="24"/>
          <w:szCs w:val="24"/>
        </w:rPr>
        <w:t>г.</w:t>
      </w:r>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21492A">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21492A">
        <w:rPr>
          <w:rFonts w:ascii="Times New Roman" w:hAnsi="Times New Roman" w:cs="Times New Roman"/>
          <w:sz w:val="24"/>
          <w:szCs w:val="24"/>
        </w:rPr>
        <w:t xml:space="preserve"> имени Л.К. Кирилловой</w:t>
      </w:r>
      <w:bookmarkStart w:id="0" w:name="_GoBack"/>
      <w:bookmarkEnd w:id="0"/>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A03BFE"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w:t>
      </w:r>
      <w:proofErr w:type="gramStart"/>
      <w:r w:rsidR="00731431" w:rsidRPr="005A7F49">
        <w:rPr>
          <w:rFonts w:ascii="Times New Roman" w:hAnsi="Times New Roman" w:cs="Times New Roman"/>
          <w:sz w:val="24"/>
          <w:szCs w:val="24"/>
        </w:rPr>
        <w:t xml:space="preserve">подписания </w:t>
      </w:r>
      <w:r w:rsidR="00580C93" w:rsidRPr="005A7F49">
        <w:rPr>
          <w:rFonts w:ascii="Times New Roman" w:hAnsi="Times New Roman" w:cs="Times New Roman"/>
          <w:sz w:val="24"/>
          <w:szCs w:val="24"/>
        </w:rPr>
        <w:t xml:space="preserve"> документа</w:t>
      </w:r>
      <w:proofErr w:type="gramEnd"/>
      <w:r w:rsidR="00580C93" w:rsidRPr="005A7F49">
        <w:rPr>
          <w:rFonts w:ascii="Times New Roman" w:hAnsi="Times New Roman" w:cs="Times New Roman"/>
          <w:sz w:val="24"/>
          <w:szCs w:val="24"/>
        </w:rPr>
        <w:t xml:space="preserve">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796F1C" w:rsidRPr="005A7F49">
        <w:rPr>
          <w:rFonts w:ascii="Times New Roman" w:hAnsi="Times New Roman" w:cs="Times New Roman"/>
          <w:sz w:val="24"/>
          <w:szCs w:val="24"/>
        </w:rPr>
        <w:t xml:space="preserve">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w:t>
      </w:r>
      <w:proofErr w:type="gramEnd"/>
      <w:r w:rsidR="00796F1C" w:rsidRPr="005A7F49">
        <w:rPr>
          <w:rFonts w:ascii="Times New Roman" w:hAnsi="Times New Roman" w:cs="Times New Roman"/>
          <w:sz w:val="24"/>
          <w:szCs w:val="24"/>
        </w:rPr>
        <w:t xml:space="preserve">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21492A">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 xml:space="preserve">Владимира»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БИК 011708377</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Счет банка: 40102810945370000020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Банк: ОТДЕЛЕНИЕ ВЛАДИМИР БАНКА РОССИИ//УФК по Владимирской области г. Владимир</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w:t>
      </w:r>
      <w:proofErr w:type="gramStart"/>
      <w:r w:rsidRPr="00613573">
        <w:rPr>
          <w:rFonts w:ascii="Times New Roman" w:hAnsi="Times New Roman" w:cs="Times New Roman"/>
          <w:sz w:val="22"/>
        </w:rPr>
        <w:t>оптовая  надбавка</w:t>
      </w:r>
      <w:proofErr w:type="gramEnd"/>
      <w:r w:rsidRPr="00613573">
        <w:rPr>
          <w:rFonts w:ascii="Times New Roman" w:hAnsi="Times New Roman" w:cs="Times New Roman"/>
          <w:sz w:val="22"/>
        </w:rPr>
        <w:t xml:space="preserve">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FE" w:rsidRDefault="00A03BFE" w:rsidP="006422E2">
      <w:pPr>
        <w:spacing w:after="0" w:line="240" w:lineRule="auto"/>
      </w:pPr>
      <w:r>
        <w:separator/>
      </w:r>
    </w:p>
  </w:endnote>
  <w:endnote w:type="continuationSeparator" w:id="0">
    <w:p w:rsidR="00A03BFE" w:rsidRDefault="00A03BFE"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FE" w:rsidRDefault="00A03BFE" w:rsidP="006422E2">
      <w:pPr>
        <w:spacing w:after="0" w:line="240" w:lineRule="auto"/>
      </w:pPr>
      <w:r>
        <w:separator/>
      </w:r>
    </w:p>
  </w:footnote>
  <w:footnote w:type="continuationSeparator" w:id="0">
    <w:p w:rsidR="00A03BFE" w:rsidRDefault="00A03BFE"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7F23"/>
    <w:rsid w:val="000A4B4E"/>
    <w:rsid w:val="000B106C"/>
    <w:rsid w:val="000B55BF"/>
    <w:rsid w:val="000B7235"/>
    <w:rsid w:val="000D188D"/>
    <w:rsid w:val="000E620B"/>
    <w:rsid w:val="000F2317"/>
    <w:rsid w:val="000F352D"/>
    <w:rsid w:val="000F7823"/>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1492A"/>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7322"/>
    <w:rsid w:val="004360AB"/>
    <w:rsid w:val="0044074F"/>
    <w:rsid w:val="00445DA4"/>
    <w:rsid w:val="0044712A"/>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7B89"/>
    <w:rsid w:val="0088209E"/>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A4F76"/>
    <w:rsid w:val="009B643D"/>
    <w:rsid w:val="009E2254"/>
    <w:rsid w:val="00A00A66"/>
    <w:rsid w:val="00A03BFE"/>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507D8"/>
    <w:rsid w:val="00F54324"/>
    <w:rsid w:val="00F711D6"/>
    <w:rsid w:val="00F80A7A"/>
    <w:rsid w:val="00FA6515"/>
    <w:rsid w:val="00FB0810"/>
    <w:rsid w:val="00FB6BC7"/>
    <w:rsid w:val="00FC3B35"/>
    <w:rsid w:val="00FE6414"/>
    <w:rsid w:val="00FE77EA"/>
    <w:rsid w:val="00FF46D2"/>
    <w:rsid w:val="00FF5030"/>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38C26-2CBA-4E3C-8F70-550267E7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7576</Words>
  <Characters>43184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82</cp:revision>
  <cp:lastPrinted>2022-12-02T09:38:00Z</cp:lastPrinted>
  <dcterms:created xsi:type="dcterms:W3CDTF">2023-04-06T12:40:00Z</dcterms:created>
  <dcterms:modified xsi:type="dcterms:W3CDTF">2026-05-25T08:37:00Z</dcterms:modified>
</cp:coreProperties>
</file>